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B6CD" w14:textId="77777777" w:rsidR="003210BD" w:rsidRDefault="003210BD" w:rsidP="00B86CAC">
      <w:pPr>
        <w:jc w:val="both"/>
        <w:rPr>
          <w:b/>
          <w:iCs/>
          <w:lang w:val="hu-HU"/>
        </w:rPr>
      </w:pPr>
      <w:r>
        <w:rPr>
          <w:b/>
          <w:iCs/>
          <w:lang w:val="hu-HU"/>
        </w:rPr>
        <w:t>III/</w:t>
      </w:r>
    </w:p>
    <w:p w14:paraId="48314EC1" w14:textId="63E19B54" w:rsidR="00B86CAC" w:rsidRPr="00364225" w:rsidRDefault="00B86CAC" w:rsidP="00B86CAC">
      <w:pPr>
        <w:jc w:val="both"/>
        <w:rPr>
          <w:b/>
          <w:iCs/>
          <w:lang w:val="hu-HU"/>
        </w:rPr>
      </w:pPr>
      <w:r w:rsidRPr="00364225">
        <w:rPr>
          <w:b/>
          <w:iCs/>
          <w:lang w:val="hu-HU"/>
        </w:rPr>
        <w:t>1.feladat</w:t>
      </w:r>
    </w:p>
    <w:p w14:paraId="26A72A31" w14:textId="77777777" w:rsidR="00B86CAC" w:rsidRPr="00364225" w:rsidRDefault="00B86CAC" w:rsidP="00B86CAC">
      <w:pPr>
        <w:jc w:val="both"/>
      </w:pPr>
      <w:r w:rsidRPr="00364225">
        <w:rPr>
          <w:iCs/>
          <w:lang w:val="hu-HU"/>
        </w:rPr>
        <w:t>Egy részvénytársaság meglévő befektetései a következő</w:t>
      </w:r>
    </w:p>
    <w:p w14:paraId="760A58BD" w14:textId="77777777" w:rsidR="00B86CAC" w:rsidRPr="00364225" w:rsidRDefault="00B86CAC" w:rsidP="00B86CAC">
      <w:pPr>
        <w:jc w:val="both"/>
      </w:pPr>
      <w:r w:rsidRPr="00364225">
        <w:rPr>
          <w:iCs/>
          <w:lang w:val="hu-HU"/>
        </w:rPr>
        <w:t xml:space="preserve">évben részvényenként </w:t>
      </w:r>
      <w:r w:rsidRPr="00364225">
        <w:rPr>
          <w:iCs/>
          <w:highlight w:val="yellow"/>
          <w:lang w:val="hu-HU"/>
        </w:rPr>
        <w:t>$ 3,84</w:t>
      </w:r>
      <w:r w:rsidRPr="00364225">
        <w:rPr>
          <w:iCs/>
          <w:lang w:val="hu-HU"/>
        </w:rPr>
        <w:t xml:space="preserve">  jövedelmet eredményeznek.</w:t>
      </w:r>
    </w:p>
    <w:p w14:paraId="05FB3AAF" w14:textId="77777777" w:rsidR="00B86CAC" w:rsidRPr="00364225" w:rsidRDefault="00B86CAC" w:rsidP="00B86CAC">
      <w:pPr>
        <w:jc w:val="both"/>
      </w:pPr>
      <w:r w:rsidRPr="00364225">
        <w:rPr>
          <w:iCs/>
          <w:lang w:val="hu-HU"/>
        </w:rPr>
        <w:t xml:space="preserve">Mivel a cég vezetése úgy ítéli meg, hogy </w:t>
      </w:r>
      <w:r w:rsidRPr="00364225">
        <w:rPr>
          <w:iCs/>
          <w:u w:val="single"/>
          <w:lang w:val="hu-HU"/>
        </w:rPr>
        <w:t>nincs növekedési</w:t>
      </w:r>
    </w:p>
    <w:p w14:paraId="1206EDF8" w14:textId="77777777" w:rsidR="00B86CAC" w:rsidRPr="00364225" w:rsidRDefault="00B86CAC" w:rsidP="00B86CAC">
      <w:pPr>
        <w:jc w:val="both"/>
      </w:pPr>
      <w:r w:rsidRPr="00364225">
        <w:rPr>
          <w:iCs/>
          <w:u w:val="single"/>
          <w:lang w:val="hu-HU"/>
        </w:rPr>
        <w:t>lehetősége</w:t>
      </w:r>
      <w:r w:rsidRPr="00364225">
        <w:rPr>
          <w:iCs/>
          <w:lang w:val="hu-HU"/>
        </w:rPr>
        <w:t>, ezért a nyereséget teljes egészében kifizetik</w:t>
      </w:r>
    </w:p>
    <w:p w14:paraId="2EE404E2" w14:textId="77777777" w:rsidR="00B86CAC" w:rsidRPr="00364225" w:rsidRDefault="00B86CAC" w:rsidP="00B86CAC">
      <w:pPr>
        <w:jc w:val="both"/>
      </w:pPr>
      <w:r w:rsidRPr="00364225">
        <w:rPr>
          <w:iCs/>
          <w:lang w:val="hu-HU"/>
        </w:rPr>
        <w:t>osztalékként. Mennyi a részvények jelenlegi árfolyama, ha</w:t>
      </w:r>
    </w:p>
    <w:p w14:paraId="7C9C1802" w14:textId="77777777" w:rsidR="00B86CAC" w:rsidRPr="00364225" w:rsidRDefault="00B86CAC" w:rsidP="00B86CAC">
      <w:pPr>
        <w:jc w:val="both"/>
      </w:pPr>
      <w:r w:rsidRPr="00364225">
        <w:rPr>
          <w:iCs/>
          <w:lang w:val="hu-HU"/>
        </w:rPr>
        <w:t xml:space="preserve">az elvárt hozam </w:t>
      </w:r>
      <w:r w:rsidRPr="00364225">
        <w:rPr>
          <w:iCs/>
          <w:highlight w:val="yellow"/>
          <w:lang w:val="hu-HU"/>
        </w:rPr>
        <w:t>12 %</w:t>
      </w:r>
      <w:r w:rsidRPr="00364225">
        <w:rPr>
          <w:iCs/>
          <w:lang w:val="hu-HU"/>
        </w:rPr>
        <w:t>?</w:t>
      </w:r>
    </w:p>
    <w:p w14:paraId="0B51F0A0" w14:textId="77777777" w:rsidR="00962D00" w:rsidRPr="00364225" w:rsidRDefault="00962D00" w:rsidP="00B86CAC">
      <w:pPr>
        <w:jc w:val="both"/>
      </w:pPr>
    </w:p>
    <w:p w14:paraId="6188F32E" w14:textId="77777777" w:rsidR="00B86CAC" w:rsidRPr="00364225" w:rsidRDefault="00B86CAC" w:rsidP="00B86CAC">
      <w:pPr>
        <w:jc w:val="both"/>
      </w:pPr>
      <w:r w:rsidRPr="00364225">
        <w:t>MEGOLDÁS:</w:t>
      </w:r>
    </w:p>
    <w:p w14:paraId="5DE6095F" w14:textId="77777777" w:rsidR="00B86CAC" w:rsidRPr="00364225" w:rsidRDefault="00B86CAC" w:rsidP="00B86CAC">
      <w:pPr>
        <w:jc w:val="both"/>
        <w:rPr>
          <w:i/>
        </w:rPr>
      </w:pPr>
      <w:r w:rsidRPr="00364225">
        <w:rPr>
          <w:i/>
        </w:rPr>
        <w:t>(</w:t>
      </w:r>
      <w:r w:rsidRPr="00364225">
        <w:rPr>
          <w:bCs/>
          <w:i/>
          <w:lang w:val="hu-HU"/>
        </w:rPr>
        <w:t xml:space="preserve">(Osztalék) elsőbbségi részvény; </w:t>
      </w:r>
      <w:r w:rsidRPr="00364225">
        <w:rPr>
          <w:i/>
          <w:lang w:val="hu-HU"/>
        </w:rPr>
        <w:t>(g = 0%)</w:t>
      </w:r>
      <w:r w:rsidRPr="00364225">
        <w:rPr>
          <w:i/>
        </w:rPr>
        <w:t xml:space="preserve">; </w:t>
      </w:r>
      <w:r w:rsidRPr="00364225">
        <w:rPr>
          <w:bCs/>
          <w:i/>
          <w:lang w:val="hu-HU"/>
        </w:rPr>
        <w:t>PV = DIV</w:t>
      </w:r>
      <w:r w:rsidRPr="00364225">
        <w:rPr>
          <w:bCs/>
          <w:i/>
          <w:vertAlign w:val="subscript"/>
          <w:lang w:val="hu-HU"/>
        </w:rPr>
        <w:t>1</w:t>
      </w:r>
      <w:r w:rsidRPr="00364225">
        <w:rPr>
          <w:bCs/>
          <w:i/>
          <w:lang w:val="hu-HU"/>
        </w:rPr>
        <w:t>/r</w:t>
      </w:r>
      <w:r w:rsidRPr="00364225">
        <w:rPr>
          <w:bCs/>
          <w:i/>
          <w:vertAlign w:val="subscript"/>
          <w:lang w:val="hu-HU"/>
        </w:rPr>
        <w:t>e</w:t>
      </w:r>
      <w:r w:rsidRPr="00364225">
        <w:rPr>
          <w:i/>
        </w:rPr>
        <w:t>)</w:t>
      </w:r>
    </w:p>
    <w:p w14:paraId="5D025D4C" w14:textId="77777777" w:rsidR="00B86CAC" w:rsidRPr="00364225" w:rsidRDefault="00B86CAC" w:rsidP="0059148B">
      <w:pPr>
        <w:pBdr>
          <w:bottom w:val="single" w:sz="4" w:space="1" w:color="auto"/>
        </w:pBd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 xml:space="preserve">PV=3,84/0,12=$ 32 növekedésmentes jelenérték </w:t>
      </w:r>
    </w:p>
    <w:p w14:paraId="3EC21A01" w14:textId="77777777" w:rsidR="009E7563" w:rsidRPr="00364225" w:rsidRDefault="009E7563"/>
    <w:p w14:paraId="376C79B2" w14:textId="77777777" w:rsidR="002E16D2" w:rsidRPr="00364225" w:rsidRDefault="002E16D2">
      <w:pPr>
        <w:rPr>
          <w:b/>
        </w:rPr>
      </w:pPr>
      <w:r w:rsidRPr="00364225">
        <w:rPr>
          <w:b/>
        </w:rPr>
        <w:t>2.feladat</w:t>
      </w:r>
    </w:p>
    <w:p w14:paraId="578579A1" w14:textId="77777777" w:rsidR="002E16D2" w:rsidRPr="00364225" w:rsidRDefault="002E16D2" w:rsidP="003F79C2">
      <w:pPr>
        <w:jc w:val="both"/>
      </w:pPr>
      <w:r w:rsidRPr="00364225">
        <w:rPr>
          <w:iCs/>
          <w:lang w:val="hu-HU"/>
        </w:rPr>
        <w:t>Tételezzük fel, hogy a társaság piaci kilátásai</w:t>
      </w:r>
    </w:p>
    <w:p w14:paraId="3697F8C5" w14:textId="77777777" w:rsidR="002E16D2" w:rsidRPr="00364225" w:rsidRDefault="002E16D2" w:rsidP="003F79C2">
      <w:pPr>
        <w:jc w:val="both"/>
      </w:pPr>
      <w:r w:rsidRPr="00364225">
        <w:rPr>
          <w:iCs/>
          <w:lang w:val="hu-HU"/>
        </w:rPr>
        <w:t>javulnak, termékei iránt növekszik a kereslet. Az</w:t>
      </w:r>
    </w:p>
    <w:p w14:paraId="7F2F6AE4" w14:textId="77777777" w:rsidR="002E16D2" w:rsidRPr="00364225" w:rsidRDefault="002E16D2" w:rsidP="003F79C2">
      <w:pPr>
        <w:jc w:val="both"/>
      </w:pPr>
      <w:r w:rsidRPr="00364225">
        <w:rPr>
          <w:iCs/>
          <w:lang w:val="hu-HU"/>
        </w:rPr>
        <w:t>eladást azonban csak a kapacitások bővítésével</w:t>
      </w:r>
    </w:p>
    <w:p w14:paraId="5924980D" w14:textId="77777777" w:rsidR="002E16D2" w:rsidRPr="00364225" w:rsidRDefault="002E16D2" w:rsidP="003F79C2">
      <w:pPr>
        <w:jc w:val="both"/>
      </w:pPr>
      <w:r w:rsidRPr="00364225">
        <w:rPr>
          <w:iCs/>
          <w:lang w:val="hu-HU"/>
        </w:rPr>
        <w:t>lehet növelni. Ezért a cég úgy dönt, hogy a</w:t>
      </w:r>
    </w:p>
    <w:p w14:paraId="6BEA01DD" w14:textId="77777777" w:rsidR="002E16D2" w:rsidRPr="00364225" w:rsidRDefault="002E16D2" w:rsidP="003F79C2">
      <w:pPr>
        <w:jc w:val="both"/>
      </w:pPr>
      <w:r w:rsidRPr="00364225">
        <w:rPr>
          <w:iCs/>
          <w:lang w:val="hu-HU"/>
        </w:rPr>
        <w:t xml:space="preserve">jövedelem </w:t>
      </w:r>
      <w:r w:rsidRPr="00364225">
        <w:rPr>
          <w:iCs/>
          <w:highlight w:val="yellow"/>
          <w:lang w:val="hu-HU"/>
        </w:rPr>
        <w:t>40%</w:t>
      </w:r>
      <w:r w:rsidRPr="00364225">
        <w:rPr>
          <w:iCs/>
          <w:lang w:val="hu-HU"/>
        </w:rPr>
        <w:t>-át visszaforgatja. A saját tőke</w:t>
      </w:r>
    </w:p>
    <w:p w14:paraId="0B565EA5" w14:textId="77777777" w:rsidR="002E16D2" w:rsidRPr="00364225" w:rsidRDefault="002E16D2" w:rsidP="003F79C2">
      <w:pPr>
        <w:jc w:val="both"/>
        <w:rPr>
          <w:iCs/>
          <w:lang w:val="hu-HU"/>
        </w:rPr>
      </w:pPr>
      <w:r w:rsidRPr="00364225">
        <w:rPr>
          <w:iCs/>
          <w:lang w:val="hu-HU"/>
        </w:rPr>
        <w:t>arányos nyereség 20%. Hogyan alakulna ilyen feltételek</w:t>
      </w:r>
    </w:p>
    <w:p w14:paraId="0B798E07" w14:textId="77777777" w:rsidR="002E16D2" w:rsidRPr="00364225" w:rsidRDefault="002E16D2" w:rsidP="003F79C2">
      <w:pPr>
        <w:jc w:val="both"/>
        <w:rPr>
          <w:iCs/>
          <w:lang w:val="hu-HU"/>
        </w:rPr>
      </w:pPr>
      <w:r w:rsidRPr="00364225">
        <w:rPr>
          <w:iCs/>
          <w:lang w:val="hu-HU"/>
        </w:rPr>
        <w:t xml:space="preserve">esetén a részvények </w:t>
      </w:r>
      <w:r w:rsidRPr="00364225">
        <w:rPr>
          <w:b/>
          <w:bCs/>
          <w:iCs/>
          <w:lang w:val="hu-HU"/>
        </w:rPr>
        <w:t>árfolyama</w:t>
      </w:r>
      <w:r w:rsidRPr="00364225">
        <w:rPr>
          <w:iCs/>
          <w:lang w:val="hu-HU"/>
        </w:rPr>
        <w:t xml:space="preserve">? Mekkora a </w:t>
      </w:r>
      <w:r w:rsidRPr="00364225">
        <w:rPr>
          <w:b/>
          <w:bCs/>
          <w:iCs/>
          <w:lang w:val="hu-HU"/>
        </w:rPr>
        <w:t>növekedési</w:t>
      </w:r>
    </w:p>
    <w:p w14:paraId="514A4ADB" w14:textId="77777777" w:rsidR="002E16D2" w:rsidRPr="00364225" w:rsidRDefault="002E16D2" w:rsidP="003F79C2">
      <w:pPr>
        <w:jc w:val="both"/>
      </w:pPr>
      <w:r w:rsidRPr="00364225">
        <w:rPr>
          <w:b/>
          <w:bCs/>
          <w:iCs/>
          <w:lang w:val="hu-HU"/>
        </w:rPr>
        <w:t xml:space="preserve">lehetőségek jelenértéke? </w:t>
      </w:r>
      <w:r w:rsidRPr="00364225">
        <w:rPr>
          <w:iCs/>
          <w:highlight w:val="yellow"/>
          <w:lang w:val="hu-HU"/>
        </w:rPr>
        <w:t>(PVGO)</w:t>
      </w:r>
    </w:p>
    <w:p w14:paraId="2A2682C2" w14:textId="77777777" w:rsidR="002E16D2" w:rsidRPr="00364225" w:rsidRDefault="002E16D2"/>
    <w:p w14:paraId="22732618" w14:textId="77777777" w:rsidR="002E16D2" w:rsidRPr="00364225" w:rsidRDefault="002E16D2" w:rsidP="002E16D2">
      <w:pPr>
        <w:jc w:val="both"/>
      </w:pPr>
      <w:r w:rsidRPr="00364225">
        <w:t>MEGOLDÁS:</w:t>
      </w:r>
    </w:p>
    <w:p w14:paraId="3689237D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>EPS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 xml:space="preserve">= $3,84 </w:t>
      </w:r>
    </w:p>
    <w:p w14:paraId="462331CD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>r</w:t>
      </w:r>
      <w:r w:rsidRPr="00364225">
        <w:rPr>
          <w:b/>
          <w:vertAlign w:val="subscript"/>
          <w:lang w:val="hu-HU"/>
        </w:rPr>
        <w:t xml:space="preserve">e </w:t>
      </w:r>
      <w:r w:rsidRPr="00364225">
        <w:rPr>
          <w:b/>
          <w:lang w:val="hu-HU"/>
        </w:rPr>
        <w:t>= 0,12</w:t>
      </w:r>
    </w:p>
    <w:p w14:paraId="4F3A5293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 xml:space="preserve">40%: RR </w:t>
      </w:r>
    </w:p>
    <w:p w14:paraId="0B7EA7B9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>60%-a (DIV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>)= 3,84 x 0,6= $2,304</w:t>
      </w:r>
    </w:p>
    <w:p w14:paraId="14F52147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 xml:space="preserve">ROE=0,2 </w:t>
      </w:r>
    </w:p>
    <w:p w14:paraId="1B0A55B2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>g=ROE x RR= 0,2 x 0,4= 0,08</w:t>
      </w:r>
    </w:p>
    <w:p w14:paraId="76864A47" w14:textId="77777777" w:rsidR="002E16D2" w:rsidRPr="00364225" w:rsidRDefault="002E16D2" w:rsidP="002E16D2">
      <w:pPr>
        <w:rPr>
          <w:b/>
        </w:rPr>
      </w:pPr>
      <w:r w:rsidRPr="00364225">
        <w:rPr>
          <w:b/>
          <w:lang w:val="hu-HU"/>
        </w:rPr>
        <w:t>P</w:t>
      </w:r>
      <w:r w:rsidRPr="00364225">
        <w:rPr>
          <w:b/>
          <w:vertAlign w:val="subscript"/>
          <w:lang w:val="hu-HU"/>
        </w:rPr>
        <w:t>0</w:t>
      </w:r>
      <w:r w:rsidRPr="00364225">
        <w:rPr>
          <w:b/>
          <w:lang w:val="hu-HU"/>
        </w:rPr>
        <w:t xml:space="preserve"> = DIV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>/(r-g) = 2,304/ (0,12 – 0,08</w:t>
      </w:r>
      <w:r w:rsidR="003F79C2" w:rsidRPr="00364225">
        <w:rPr>
          <w:b/>
          <w:lang w:val="hu-HU"/>
        </w:rPr>
        <w:t>)</w:t>
      </w:r>
      <w:r w:rsidRPr="00364225">
        <w:rPr>
          <w:b/>
          <w:lang w:val="hu-HU"/>
        </w:rPr>
        <w:t xml:space="preserve">= </w:t>
      </w:r>
      <w:r w:rsidRPr="00364225">
        <w:rPr>
          <w:b/>
          <w:bCs/>
          <w:lang w:val="hu-HU"/>
        </w:rPr>
        <w:t>$</w:t>
      </w:r>
      <w:r w:rsidR="003F79C2" w:rsidRPr="00364225">
        <w:rPr>
          <w:b/>
          <w:bCs/>
          <w:lang w:val="hu-HU"/>
        </w:rPr>
        <w:t>57,6</w:t>
      </w:r>
    </w:p>
    <w:p w14:paraId="18DC83FA" w14:textId="77777777" w:rsidR="002E16D2" w:rsidRPr="00364225" w:rsidRDefault="002E16D2" w:rsidP="0059148B">
      <w:pPr>
        <w:pBdr>
          <w:bottom w:val="single" w:sz="4" w:space="1" w:color="auto"/>
        </w:pBdr>
        <w:rPr>
          <w:b/>
          <w:bCs/>
          <w:lang w:val="hu-HU"/>
        </w:rPr>
      </w:pPr>
      <w:r w:rsidRPr="00364225">
        <w:rPr>
          <w:b/>
          <w:lang w:val="hu-HU"/>
        </w:rPr>
        <w:t>PVGO = P</w:t>
      </w:r>
      <w:r w:rsidRPr="00364225">
        <w:rPr>
          <w:b/>
          <w:vertAlign w:val="subscript"/>
          <w:lang w:val="hu-HU"/>
        </w:rPr>
        <w:t>0</w:t>
      </w:r>
      <w:r w:rsidRPr="00364225">
        <w:rPr>
          <w:b/>
          <w:lang w:val="hu-HU"/>
        </w:rPr>
        <w:t xml:space="preserve"> – EPS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>/r</w:t>
      </w:r>
      <w:r w:rsidRPr="00364225">
        <w:rPr>
          <w:b/>
          <w:vertAlign w:val="subscript"/>
          <w:lang w:val="hu-HU"/>
        </w:rPr>
        <w:t>e</w:t>
      </w:r>
      <w:r w:rsidRPr="00364225">
        <w:rPr>
          <w:b/>
          <w:lang w:val="hu-HU"/>
        </w:rPr>
        <w:t xml:space="preserve">= </w:t>
      </w:r>
      <w:r w:rsidR="003F79C2" w:rsidRPr="00364225">
        <w:rPr>
          <w:b/>
          <w:lang w:val="hu-HU"/>
        </w:rPr>
        <w:t>57,6</w:t>
      </w:r>
      <w:r w:rsidRPr="00364225">
        <w:rPr>
          <w:b/>
          <w:lang w:val="hu-HU"/>
        </w:rPr>
        <w:t xml:space="preserve"> </w:t>
      </w:r>
      <w:r w:rsidR="003F79C2" w:rsidRPr="00364225">
        <w:rPr>
          <w:b/>
          <w:lang w:val="hu-HU"/>
        </w:rPr>
        <w:t>–</w:t>
      </w:r>
      <w:r w:rsidRPr="00364225">
        <w:rPr>
          <w:b/>
          <w:lang w:val="hu-HU"/>
        </w:rPr>
        <w:t xml:space="preserve"> </w:t>
      </w:r>
      <w:r w:rsidR="003F79C2" w:rsidRPr="00364225">
        <w:rPr>
          <w:b/>
          <w:lang w:val="hu-HU"/>
        </w:rPr>
        <w:t>3,84/0,12</w:t>
      </w:r>
      <w:r w:rsidRPr="00364225">
        <w:rPr>
          <w:b/>
          <w:lang w:val="hu-HU"/>
        </w:rPr>
        <w:t xml:space="preserve">= </w:t>
      </w:r>
      <w:r w:rsidR="003F79C2" w:rsidRPr="00364225">
        <w:rPr>
          <w:b/>
          <w:lang w:val="hu-HU"/>
        </w:rPr>
        <w:t xml:space="preserve">57,6 </w:t>
      </w:r>
      <w:r w:rsidRPr="00364225">
        <w:rPr>
          <w:b/>
          <w:lang w:val="hu-HU"/>
        </w:rPr>
        <w:t xml:space="preserve">- </w:t>
      </w:r>
      <w:r w:rsidR="003F79C2" w:rsidRPr="00364225">
        <w:rPr>
          <w:b/>
          <w:lang w:val="hu-HU"/>
        </w:rPr>
        <w:t>32</w:t>
      </w:r>
      <w:r w:rsidRPr="00364225">
        <w:rPr>
          <w:b/>
          <w:lang w:val="hu-HU"/>
        </w:rPr>
        <w:t xml:space="preserve">= </w:t>
      </w:r>
      <w:r w:rsidRPr="00364225">
        <w:rPr>
          <w:b/>
          <w:bCs/>
          <w:lang w:val="hu-HU"/>
        </w:rPr>
        <w:t>$</w:t>
      </w:r>
      <w:r w:rsidR="003F79C2" w:rsidRPr="00364225">
        <w:rPr>
          <w:b/>
          <w:bCs/>
          <w:lang w:val="hu-HU"/>
        </w:rPr>
        <w:t>25,6</w:t>
      </w:r>
    </w:p>
    <w:p w14:paraId="5EBFBCCC" w14:textId="77777777" w:rsidR="003F79C2" w:rsidRPr="00364225" w:rsidRDefault="003F79C2" w:rsidP="002E16D2">
      <w:pPr>
        <w:rPr>
          <w:b/>
          <w:bCs/>
          <w:lang w:val="hu-HU"/>
        </w:rPr>
      </w:pPr>
    </w:p>
    <w:p w14:paraId="7CBADA0A" w14:textId="77777777" w:rsidR="0059148B" w:rsidRPr="00364225" w:rsidRDefault="0059148B" w:rsidP="0059148B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3.feladat</w:t>
      </w:r>
    </w:p>
    <w:p w14:paraId="274B9C1C" w14:textId="77777777" w:rsidR="0059148B" w:rsidRPr="00364225" w:rsidRDefault="0059148B" w:rsidP="0059148B">
      <w:r w:rsidRPr="00364225">
        <w:rPr>
          <w:iCs/>
          <w:lang w:val="hu-HU"/>
        </w:rPr>
        <w:t>Tételezzük fel, hogy az S portfolió</w:t>
      </w:r>
    </w:p>
    <w:p w14:paraId="1AB095FF" w14:textId="77777777" w:rsidR="0059148B" w:rsidRPr="00364225" w:rsidRDefault="0059148B" w:rsidP="0059148B">
      <w:r w:rsidRPr="00364225">
        <w:rPr>
          <w:iCs/>
          <w:lang w:val="hu-HU"/>
        </w:rPr>
        <w:t xml:space="preserve">Várható átlagos hozama </w:t>
      </w:r>
      <w:r w:rsidRPr="00364225">
        <w:rPr>
          <w:iCs/>
          <w:highlight w:val="yellow"/>
          <w:lang w:val="hu-HU"/>
        </w:rPr>
        <w:t>11</w:t>
      </w:r>
      <w:r w:rsidRPr="00364225">
        <w:rPr>
          <w:iCs/>
          <w:lang w:val="hu-HU"/>
        </w:rPr>
        <w:t xml:space="preserve">%, szórása pedig </w:t>
      </w:r>
      <w:r w:rsidRPr="00364225">
        <w:rPr>
          <w:iCs/>
          <w:highlight w:val="yellow"/>
          <w:lang w:val="hu-HU"/>
        </w:rPr>
        <w:t>14</w:t>
      </w:r>
      <w:r w:rsidRPr="00364225">
        <w:rPr>
          <w:iCs/>
          <w:lang w:val="hu-HU"/>
        </w:rPr>
        <w:t>%.</w:t>
      </w:r>
    </w:p>
    <w:p w14:paraId="0377177B" w14:textId="77777777" w:rsidR="0059148B" w:rsidRPr="00364225" w:rsidRDefault="0059148B" w:rsidP="0059148B">
      <w:pPr>
        <w:rPr>
          <w:iCs/>
          <w:lang w:val="hu-HU"/>
        </w:rPr>
      </w:pPr>
      <w:r w:rsidRPr="00364225">
        <w:rPr>
          <w:iCs/>
          <w:lang w:val="hu-HU"/>
        </w:rPr>
        <w:t>Ha tehát nem a teljes rendelkezésre álló saját tőkét,</w:t>
      </w:r>
    </w:p>
    <w:p w14:paraId="0ACC73DF" w14:textId="77777777" w:rsidR="0059148B" w:rsidRPr="00364225" w:rsidRDefault="0059148B" w:rsidP="0059148B">
      <w:pPr>
        <w:rPr>
          <w:iCs/>
          <w:lang w:val="hu-HU"/>
        </w:rPr>
      </w:pPr>
      <w:r w:rsidRPr="00364225">
        <w:rPr>
          <w:iCs/>
          <w:lang w:val="hu-HU"/>
        </w:rPr>
        <w:t xml:space="preserve"> hanem annak csak 50%-át fektetem az S portfolióba, </w:t>
      </w:r>
    </w:p>
    <w:p w14:paraId="6085EF9A" w14:textId="77777777" w:rsidR="0059148B" w:rsidRPr="00364225" w:rsidRDefault="0059148B" w:rsidP="0059148B">
      <w:pPr>
        <w:rPr>
          <w:iCs/>
          <w:lang w:val="hu-HU"/>
        </w:rPr>
      </w:pPr>
      <w:r w:rsidRPr="00364225">
        <w:rPr>
          <w:iCs/>
          <w:lang w:val="hu-HU"/>
        </w:rPr>
        <w:t>a másik 50%-ot pedig kockázatmentes állampapírba</w:t>
      </w:r>
    </w:p>
    <w:p w14:paraId="0D45CCA0" w14:textId="77777777" w:rsidR="0059148B" w:rsidRPr="00364225" w:rsidRDefault="0059148B" w:rsidP="0059148B">
      <w:pPr>
        <w:rPr>
          <w:iCs/>
          <w:lang w:val="hu-HU"/>
        </w:rPr>
      </w:pPr>
      <w:r w:rsidRPr="00364225">
        <w:rPr>
          <w:iCs/>
          <w:lang w:val="hu-HU"/>
        </w:rPr>
        <w:t xml:space="preserve"> fektetem, amelynek </w:t>
      </w:r>
      <w:r w:rsidRPr="00364225">
        <w:rPr>
          <w:iCs/>
          <w:highlight w:val="yellow"/>
          <w:lang w:val="hu-HU"/>
        </w:rPr>
        <w:t>3</w:t>
      </w:r>
      <w:r w:rsidRPr="00364225">
        <w:rPr>
          <w:iCs/>
          <w:lang w:val="hu-HU"/>
        </w:rPr>
        <w:t>% a névleges kamatozása, hogyan</w:t>
      </w:r>
    </w:p>
    <w:p w14:paraId="49C7DC42" w14:textId="77777777" w:rsidR="0059148B" w:rsidRPr="00364225" w:rsidRDefault="0059148B" w:rsidP="0059148B">
      <w:pPr>
        <w:rPr>
          <w:iCs/>
          <w:lang w:val="hu-HU"/>
        </w:rPr>
      </w:pPr>
      <w:r w:rsidRPr="00364225">
        <w:rPr>
          <w:iCs/>
          <w:lang w:val="hu-HU"/>
        </w:rPr>
        <w:t xml:space="preserve"> változnak a portfoliót jellemző adatok (várható átlagos </w:t>
      </w:r>
    </w:p>
    <w:p w14:paraId="1359AA6B" w14:textId="77777777" w:rsidR="0059148B" w:rsidRPr="00364225" w:rsidRDefault="0059148B" w:rsidP="0059148B">
      <w:r w:rsidRPr="00364225">
        <w:rPr>
          <w:iCs/>
          <w:lang w:val="hu-HU"/>
        </w:rPr>
        <w:t>hozam, szórás)?</w:t>
      </w:r>
    </w:p>
    <w:p w14:paraId="71EB878F" w14:textId="77777777" w:rsidR="0059148B" w:rsidRPr="00364225" w:rsidRDefault="0059148B" w:rsidP="0059148B"/>
    <w:p w14:paraId="73BC7E18" w14:textId="77777777" w:rsidR="0059148B" w:rsidRPr="00364225" w:rsidRDefault="0059148B" w:rsidP="0059148B">
      <w:r w:rsidRPr="00364225">
        <w:t>MEGOLDÁS</w:t>
      </w:r>
    </w:p>
    <w:p w14:paraId="213E5662" w14:textId="77777777" w:rsidR="0059148B" w:rsidRPr="00364225" w:rsidRDefault="0059148B" w:rsidP="0059148B">
      <w:pPr>
        <w:rPr>
          <w:b/>
        </w:rPr>
      </w:pPr>
      <w:r w:rsidRPr="00364225">
        <w:rPr>
          <w:b/>
          <w:lang w:val="hu-HU"/>
        </w:rPr>
        <w:t>r = 0,5 x 11%</w:t>
      </w:r>
      <w:r w:rsidRPr="00364225">
        <w:rPr>
          <w:b/>
          <w:lang w:val="hu-HU"/>
        </w:rPr>
        <w:tab/>
        <w:t xml:space="preserve"> + 0,5 x 3% = 7% </w:t>
      </w:r>
    </w:p>
    <w:p w14:paraId="6F84A439" w14:textId="77777777" w:rsidR="00FA1EE4" w:rsidRPr="00364225" w:rsidRDefault="0059148B" w:rsidP="0059148B">
      <w:pPr>
        <w:pBdr>
          <w:bottom w:val="single" w:sz="4" w:space="1" w:color="auto"/>
        </w:pBdr>
        <w:rPr>
          <w:b/>
        </w:rPr>
      </w:pP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 xml:space="preserve">p </w:t>
      </w:r>
      <w:r w:rsidRPr="00364225">
        <w:rPr>
          <w:b/>
          <w:lang w:val="hu-HU"/>
        </w:rPr>
        <w:t xml:space="preserve">= </w:t>
      </w:r>
      <w:r w:rsidRPr="00364225">
        <w:rPr>
          <w:b/>
          <w:lang w:val="hu-HU"/>
        </w:rPr>
        <w:sym w:font="Symbol" w:char="F0D6"/>
      </w:r>
      <w:r w:rsidRPr="00364225">
        <w:rPr>
          <w:b/>
          <w:lang w:val="hu-HU"/>
        </w:rPr>
        <w:t>(0,5 x 14)</w:t>
      </w:r>
      <w:r w:rsidRPr="00364225">
        <w:rPr>
          <w:b/>
          <w:vertAlign w:val="superscript"/>
          <w:lang w:val="hu-HU"/>
        </w:rPr>
        <w:t>2</w:t>
      </w:r>
      <w:r w:rsidRPr="00364225">
        <w:rPr>
          <w:b/>
          <w:lang w:val="hu-HU"/>
        </w:rPr>
        <w:t xml:space="preserve"> = 7% </w:t>
      </w:r>
    </w:p>
    <w:p w14:paraId="4E9D0881" w14:textId="77777777" w:rsidR="0059148B" w:rsidRPr="00364225" w:rsidRDefault="0059148B" w:rsidP="002E16D2">
      <w:pPr>
        <w:rPr>
          <w:b/>
          <w:bCs/>
          <w:lang w:val="hu-HU"/>
        </w:rPr>
      </w:pPr>
    </w:p>
    <w:p w14:paraId="795C28FB" w14:textId="77777777" w:rsidR="0059148B" w:rsidRPr="00364225" w:rsidRDefault="0059148B" w:rsidP="002E16D2">
      <w:pPr>
        <w:rPr>
          <w:b/>
          <w:bCs/>
          <w:lang w:val="hu-HU"/>
        </w:rPr>
      </w:pPr>
    </w:p>
    <w:p w14:paraId="5F9D2981" w14:textId="77777777" w:rsidR="0059148B" w:rsidRPr="00364225" w:rsidRDefault="0059148B" w:rsidP="002E16D2">
      <w:pPr>
        <w:rPr>
          <w:b/>
          <w:bCs/>
          <w:lang w:val="hu-HU"/>
        </w:rPr>
      </w:pPr>
    </w:p>
    <w:p w14:paraId="71D47E54" w14:textId="77777777" w:rsidR="0059148B" w:rsidRPr="00364225" w:rsidRDefault="0059148B" w:rsidP="002E16D2">
      <w:pPr>
        <w:rPr>
          <w:b/>
          <w:bCs/>
          <w:lang w:val="hu-HU"/>
        </w:rPr>
      </w:pPr>
      <w:bookmarkStart w:id="0" w:name="_GoBack"/>
      <w:bookmarkEnd w:id="0"/>
    </w:p>
    <w:p w14:paraId="7FFF5D77" w14:textId="77777777" w:rsidR="003F79C2" w:rsidRPr="00364225" w:rsidRDefault="00FA1EE4" w:rsidP="002E16D2">
      <w:pPr>
        <w:rPr>
          <w:b/>
          <w:bCs/>
          <w:lang w:val="hu-HU"/>
        </w:rPr>
      </w:pPr>
      <w:r w:rsidRPr="00364225">
        <w:rPr>
          <w:b/>
          <w:bCs/>
          <w:lang w:val="hu-HU"/>
        </w:rPr>
        <w:lastRenderedPageBreak/>
        <w:t>4</w:t>
      </w:r>
      <w:r w:rsidR="003F79C2" w:rsidRPr="00364225">
        <w:rPr>
          <w:b/>
          <w:bCs/>
          <w:lang w:val="hu-HU"/>
        </w:rPr>
        <w:t>.feladat</w:t>
      </w:r>
    </w:p>
    <w:p w14:paraId="02B18F4D" w14:textId="77777777" w:rsidR="00D0073E" w:rsidRPr="00364225" w:rsidRDefault="003F79C2" w:rsidP="00FA1EE4">
      <w:pPr>
        <w:jc w:val="both"/>
        <w:rPr>
          <w:iCs/>
        </w:rPr>
      </w:pPr>
      <w:r w:rsidRPr="00364225">
        <w:rPr>
          <w:iCs/>
          <w:lang w:val="hu-HU"/>
        </w:rPr>
        <w:t>Egy befektető „A” és „B” részvényből állítja össze a por</w:t>
      </w:r>
      <w:r w:rsidR="00FA1EE4" w:rsidRPr="00364225">
        <w:rPr>
          <w:iCs/>
          <w:lang w:val="hu-HU"/>
        </w:rPr>
        <w:t xml:space="preserve">tfolióját. „A” várható hozama </w:t>
      </w:r>
      <w:r w:rsidR="00FA1EE4" w:rsidRPr="00364225">
        <w:rPr>
          <w:iCs/>
          <w:highlight w:val="yellow"/>
          <w:lang w:val="hu-HU"/>
        </w:rPr>
        <w:t>15</w:t>
      </w:r>
      <w:r w:rsidR="00FA1EE4" w:rsidRPr="00364225">
        <w:rPr>
          <w:iCs/>
          <w:lang w:val="hu-HU"/>
        </w:rPr>
        <w:t xml:space="preserve">%, a hozamok szórása </w:t>
      </w:r>
      <w:r w:rsidR="00FA1EE4" w:rsidRPr="00364225">
        <w:rPr>
          <w:iCs/>
          <w:highlight w:val="yellow"/>
          <w:lang w:val="hu-HU"/>
        </w:rPr>
        <w:t>18</w:t>
      </w:r>
      <w:r w:rsidR="00FA1EE4" w:rsidRPr="00364225">
        <w:rPr>
          <w:iCs/>
          <w:lang w:val="hu-HU"/>
        </w:rPr>
        <w:t xml:space="preserve">%, a papír becsült bétája </w:t>
      </w:r>
      <w:r w:rsidR="00FA1EE4" w:rsidRPr="00364225">
        <w:rPr>
          <w:iCs/>
          <w:highlight w:val="yellow"/>
          <w:lang w:val="hu-HU"/>
        </w:rPr>
        <w:t>0,7</w:t>
      </w:r>
      <w:r w:rsidRPr="00364225">
        <w:rPr>
          <w:iCs/>
          <w:lang w:val="hu-HU"/>
        </w:rPr>
        <w:t xml:space="preserve">. „B” várható hozama </w:t>
      </w:r>
      <w:r w:rsidR="00FA1EE4" w:rsidRPr="00364225">
        <w:rPr>
          <w:iCs/>
          <w:highlight w:val="yellow"/>
          <w:lang w:val="hu-HU"/>
        </w:rPr>
        <w:t>16</w:t>
      </w:r>
      <w:r w:rsidR="00FA1EE4" w:rsidRPr="00364225">
        <w:rPr>
          <w:iCs/>
          <w:lang w:val="hu-HU"/>
        </w:rPr>
        <w:t xml:space="preserve">%, a hozamok szórása </w:t>
      </w:r>
      <w:r w:rsidR="00FA1EE4" w:rsidRPr="00364225">
        <w:rPr>
          <w:iCs/>
          <w:highlight w:val="yellow"/>
          <w:lang w:val="hu-HU"/>
        </w:rPr>
        <w:t>20</w:t>
      </w:r>
      <w:r w:rsidRPr="00364225">
        <w:rPr>
          <w:iCs/>
          <w:lang w:val="hu-HU"/>
        </w:rPr>
        <w:t xml:space="preserve">%, a papír becsült bétája </w:t>
      </w:r>
      <w:r w:rsidRPr="00364225">
        <w:rPr>
          <w:iCs/>
          <w:highlight w:val="yellow"/>
          <w:lang w:val="hu-HU"/>
        </w:rPr>
        <w:t>1,</w:t>
      </w:r>
      <w:r w:rsidR="00FA1EE4" w:rsidRPr="00364225">
        <w:rPr>
          <w:iCs/>
          <w:highlight w:val="yellow"/>
          <w:lang w:val="hu-HU"/>
        </w:rPr>
        <w:t>1</w:t>
      </w:r>
      <w:r w:rsidRPr="00364225">
        <w:rPr>
          <w:iCs/>
          <w:lang w:val="hu-HU"/>
        </w:rPr>
        <w:t xml:space="preserve">. A </w:t>
      </w:r>
      <w:r w:rsidR="00FA1EE4" w:rsidRPr="00364225">
        <w:rPr>
          <w:iCs/>
          <w:lang w:val="hu-HU"/>
        </w:rPr>
        <w:t xml:space="preserve">két papír közötti kovariancia </w:t>
      </w:r>
      <w:r w:rsidR="00FA1EE4" w:rsidRPr="00364225">
        <w:rPr>
          <w:iCs/>
          <w:highlight w:val="yellow"/>
          <w:lang w:val="hu-HU"/>
        </w:rPr>
        <w:t>12</w:t>
      </w:r>
      <w:r w:rsidRPr="00364225">
        <w:rPr>
          <w:iCs/>
          <w:highlight w:val="yellow"/>
          <w:lang w:val="hu-HU"/>
        </w:rPr>
        <w:t>0</w:t>
      </w:r>
      <w:r w:rsidRPr="00364225">
        <w:rPr>
          <w:iCs/>
          <w:lang w:val="hu-HU"/>
        </w:rPr>
        <w:t>.</w:t>
      </w:r>
      <w:r w:rsidR="008C072E" w:rsidRPr="00364225">
        <w:rPr>
          <w:iCs/>
          <w:lang w:val="hu-HU"/>
        </w:rPr>
        <w:t xml:space="preserve"> </w:t>
      </w:r>
      <w:r w:rsidR="008C072E" w:rsidRPr="00364225">
        <w:rPr>
          <w:iCs/>
          <w:highlight w:val="green"/>
          <w:lang w:val="hu-HU"/>
        </w:rPr>
        <w:t>a)</w:t>
      </w:r>
      <w:r w:rsidRPr="00364225">
        <w:rPr>
          <w:iCs/>
          <w:lang w:val="hu-HU"/>
        </w:rPr>
        <w:t xml:space="preserve"> Számítsa ki annak a portfoliónak a várható hozamát, amelyben  „A” részvény részaránya 60%, „B” részvény részaránya  pedig 40%.</w:t>
      </w:r>
      <w:r w:rsidR="00FA1EE4" w:rsidRPr="00364225">
        <w:rPr>
          <w:iCs/>
          <w:lang w:val="hu-HU"/>
        </w:rPr>
        <w:t xml:space="preserve"> </w:t>
      </w:r>
      <w:r w:rsidR="00882FFF" w:rsidRPr="00364225">
        <w:rPr>
          <w:iCs/>
          <w:lang w:val="hu-HU"/>
        </w:rPr>
        <w:t xml:space="preserve">Számítsa ki a portfolió együttes szórását. Mennyi ennek a portfoliónak a bétája? </w:t>
      </w:r>
      <w:r w:rsidR="008C072E" w:rsidRPr="00364225">
        <w:rPr>
          <w:iCs/>
          <w:highlight w:val="green"/>
          <w:lang w:val="hu-HU"/>
        </w:rPr>
        <w:t>b)</w:t>
      </w:r>
      <w:r w:rsidR="008C072E" w:rsidRPr="00364225">
        <w:rPr>
          <w:iCs/>
          <w:lang w:val="hu-HU"/>
        </w:rPr>
        <w:t xml:space="preserve"> ha a kockázatmentes kamatláb 6%, a piaci portfolió hozama 14%, és a CAPM feltételei érvényesek, mennyi lenne a portfolió egyensúlyi hozama?</w:t>
      </w:r>
    </w:p>
    <w:p w14:paraId="70D33431" w14:textId="77777777" w:rsidR="003F79C2" w:rsidRPr="00364225" w:rsidRDefault="003F79C2" w:rsidP="00FA1EE4">
      <w:pPr>
        <w:jc w:val="both"/>
      </w:pPr>
    </w:p>
    <w:p w14:paraId="718636FC" w14:textId="77777777" w:rsidR="008C072E" w:rsidRPr="00364225" w:rsidRDefault="00FA1EE4" w:rsidP="00FA1EE4">
      <w:pPr>
        <w:jc w:val="both"/>
      </w:pPr>
      <w:r w:rsidRPr="00364225">
        <w:t>MEGOLDÁS</w:t>
      </w:r>
    </w:p>
    <w:p w14:paraId="44F843C7" w14:textId="77777777" w:rsidR="008C072E" w:rsidRPr="00364225" w:rsidRDefault="008C072E" w:rsidP="008C072E">
      <w:r w:rsidRPr="00364225">
        <w:rPr>
          <w:highlight w:val="green"/>
        </w:rPr>
        <w:t>a)</w:t>
      </w:r>
    </w:p>
    <w:p w14:paraId="034D083B" w14:textId="77777777" w:rsidR="00FA1EE4" w:rsidRPr="00364225" w:rsidRDefault="00FA1EE4" w:rsidP="008C072E">
      <w:pPr>
        <w:rPr>
          <w:b/>
        </w:rPr>
      </w:pPr>
      <w:r w:rsidRPr="00364225">
        <w:rPr>
          <w:b/>
        </w:rPr>
        <w:t>W</w:t>
      </w:r>
      <w:r w:rsidR="007F0FCE" w:rsidRPr="00364225">
        <w:rPr>
          <w:b/>
          <w:vertAlign w:val="subscript"/>
        </w:rPr>
        <w:t>1</w:t>
      </w:r>
      <w:r w:rsidRPr="00364225">
        <w:rPr>
          <w:b/>
        </w:rPr>
        <w:t>= 0,6; W</w:t>
      </w:r>
      <w:r w:rsidR="007F0FCE" w:rsidRPr="00364225">
        <w:rPr>
          <w:b/>
          <w:vertAlign w:val="subscript"/>
        </w:rPr>
        <w:t>2</w:t>
      </w:r>
      <w:r w:rsidRPr="00364225">
        <w:rPr>
          <w:b/>
        </w:rPr>
        <w:t>= 0,4; béta</w:t>
      </w:r>
      <w:r w:rsidR="007F0FCE" w:rsidRPr="00364225">
        <w:rPr>
          <w:b/>
          <w:vertAlign w:val="subscript"/>
        </w:rPr>
        <w:t>1</w:t>
      </w:r>
      <w:r w:rsidRPr="00364225">
        <w:rPr>
          <w:b/>
        </w:rPr>
        <w:t>= 0,7; béta</w:t>
      </w:r>
      <w:r w:rsidR="007F0FCE" w:rsidRPr="00364225">
        <w:rPr>
          <w:b/>
          <w:vertAlign w:val="subscript"/>
        </w:rPr>
        <w:t>2</w:t>
      </w:r>
      <w:r w:rsidRPr="00364225">
        <w:rPr>
          <w:b/>
        </w:rPr>
        <w:t>= 1,1</w:t>
      </w:r>
      <w:r w:rsidR="007F0FCE" w:rsidRPr="00364225">
        <w:rPr>
          <w:b/>
        </w:rPr>
        <w:t xml:space="preserve"> </w:t>
      </w:r>
      <w:r w:rsidRPr="00364225">
        <w:rPr>
          <w:b/>
        </w:rPr>
        <w:br/>
      </w:r>
      <w:r w:rsidRPr="00364225">
        <w:rPr>
          <w:b/>
          <w:lang w:val="hu-HU"/>
        </w:rPr>
        <w:t>r</w:t>
      </w:r>
      <w:r w:rsidRPr="00364225">
        <w:rPr>
          <w:b/>
          <w:vertAlign w:val="subscript"/>
          <w:lang w:val="hu-HU"/>
        </w:rPr>
        <w:t xml:space="preserve">p </w:t>
      </w:r>
      <w:r w:rsidRPr="00364225">
        <w:rPr>
          <w:b/>
          <w:lang w:val="hu-HU"/>
        </w:rPr>
        <w:t>= 0,6 x 0,15 + 0,4 x 0,16 = 15,</w:t>
      </w:r>
      <w:r w:rsidR="007F0FCE" w:rsidRPr="00364225">
        <w:rPr>
          <w:b/>
          <w:lang w:val="hu-HU"/>
        </w:rPr>
        <w:t>4</w:t>
      </w:r>
      <w:r w:rsidRPr="00364225">
        <w:rPr>
          <w:b/>
          <w:lang w:val="hu-HU"/>
        </w:rPr>
        <w:t>%</w:t>
      </w:r>
    </w:p>
    <w:p w14:paraId="3D41783B" w14:textId="77777777" w:rsidR="00FA1EE4" w:rsidRPr="00364225" w:rsidRDefault="00FA1EE4" w:rsidP="00FA1EE4">
      <w:pPr>
        <w:jc w:val="both"/>
        <w:rPr>
          <w:b/>
        </w:rPr>
      </w:pPr>
      <w:r w:rsidRPr="00364225">
        <w:rPr>
          <w:b/>
          <w:lang w:val="hu-HU"/>
        </w:rPr>
        <w:t xml:space="preserve">cov = 120 = </w:t>
      </w:r>
      <w:r w:rsidRPr="00364225">
        <w:rPr>
          <w:b/>
          <w:lang w:val="el-GR"/>
        </w:rPr>
        <w:t>ρ</w:t>
      </w:r>
      <w:r w:rsidRPr="00364225">
        <w:rPr>
          <w:b/>
          <w:vertAlign w:val="subscript"/>
          <w:lang w:val="hu-HU"/>
        </w:rPr>
        <w:t>12</w:t>
      </w:r>
      <w:r w:rsidRPr="00364225">
        <w:rPr>
          <w:b/>
          <w:lang w:val="hu-HU"/>
        </w:rPr>
        <w:t xml:space="preserve"> x </w:t>
      </w:r>
      <w:r w:rsidR="007F0FCE" w:rsidRPr="00364225">
        <w:rPr>
          <w:b/>
          <w:lang w:val="hu-HU"/>
        </w:rPr>
        <w:t>18 x 20</w:t>
      </w:r>
    </w:p>
    <w:p w14:paraId="13AE3D24" w14:textId="77777777" w:rsidR="00FA1EE4" w:rsidRPr="00364225" w:rsidRDefault="00FA1EE4" w:rsidP="00FA1EE4">
      <w:pPr>
        <w:jc w:val="both"/>
        <w:rPr>
          <w:b/>
        </w:rPr>
      </w:pPr>
      <w:r w:rsidRPr="00364225">
        <w:rPr>
          <w:b/>
          <w:bCs/>
          <w:lang w:val="hu-HU"/>
        </w:rPr>
        <w:t xml:space="preserve"> </w:t>
      </w: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>p</w:t>
      </w:r>
      <w:r w:rsidRPr="00364225">
        <w:rPr>
          <w:b/>
          <w:vertAlign w:val="superscript"/>
          <w:lang w:val="hu-HU"/>
        </w:rPr>
        <w:t xml:space="preserve">2 </w:t>
      </w:r>
      <w:r w:rsidRPr="00364225">
        <w:rPr>
          <w:b/>
          <w:bCs/>
          <w:lang w:val="hu-HU"/>
        </w:rPr>
        <w:t xml:space="preserve"> = </w:t>
      </w:r>
      <w:r w:rsidRPr="00364225">
        <w:rPr>
          <w:b/>
          <w:lang w:val="hu-HU"/>
        </w:rPr>
        <w:t>(w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>)</w:t>
      </w:r>
      <w:r w:rsidRPr="00364225">
        <w:rPr>
          <w:b/>
          <w:vertAlign w:val="superscript"/>
          <w:lang w:val="hu-HU"/>
        </w:rPr>
        <w:t>2</w:t>
      </w:r>
      <w:r w:rsidRPr="00364225">
        <w:rPr>
          <w:b/>
          <w:lang w:val="hu-HU"/>
        </w:rPr>
        <w:t xml:space="preserve"> + (w</w:t>
      </w:r>
      <w:r w:rsidRPr="00364225">
        <w:rPr>
          <w:b/>
          <w:vertAlign w:val="subscript"/>
          <w:lang w:val="hu-HU"/>
        </w:rPr>
        <w:t>2</w:t>
      </w: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>2</w:t>
      </w:r>
      <w:r w:rsidRPr="00364225">
        <w:rPr>
          <w:b/>
          <w:lang w:val="hu-HU"/>
        </w:rPr>
        <w:t>)</w:t>
      </w:r>
      <w:r w:rsidRPr="00364225">
        <w:rPr>
          <w:b/>
          <w:vertAlign w:val="superscript"/>
          <w:lang w:val="hu-HU"/>
        </w:rPr>
        <w:t>2</w:t>
      </w:r>
      <w:r w:rsidRPr="00364225">
        <w:rPr>
          <w:b/>
          <w:lang w:val="el-GR"/>
        </w:rPr>
        <w:t xml:space="preserve"> </w:t>
      </w:r>
      <w:r w:rsidRPr="00364225">
        <w:rPr>
          <w:b/>
          <w:lang w:val="hu-HU"/>
        </w:rPr>
        <w:t>+ 2w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hu-HU"/>
        </w:rPr>
        <w:t>w</w:t>
      </w:r>
      <w:r w:rsidRPr="00364225">
        <w:rPr>
          <w:b/>
          <w:vertAlign w:val="subscript"/>
          <w:lang w:val="hu-HU"/>
        </w:rPr>
        <w:t>2</w:t>
      </w:r>
      <w:r w:rsidRPr="00364225">
        <w:rPr>
          <w:b/>
          <w:lang w:val="el-GR"/>
        </w:rPr>
        <w:t>ρσ</w:t>
      </w:r>
      <w:r w:rsidRPr="00364225">
        <w:rPr>
          <w:b/>
          <w:vertAlign w:val="subscript"/>
          <w:lang w:val="hu-HU"/>
        </w:rPr>
        <w:t>1</w:t>
      </w: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 xml:space="preserve">2 </w:t>
      </w:r>
      <w:r w:rsidRPr="00364225">
        <w:rPr>
          <w:b/>
          <w:lang w:val="hu-HU"/>
        </w:rPr>
        <w:t xml:space="preserve">= </w:t>
      </w:r>
    </w:p>
    <w:p w14:paraId="1E6C400F" w14:textId="77777777" w:rsidR="00FA1EE4" w:rsidRPr="00364225" w:rsidRDefault="00FA1EE4" w:rsidP="00FA1EE4">
      <w:pPr>
        <w:jc w:val="both"/>
        <w:rPr>
          <w:b/>
        </w:rPr>
      </w:pPr>
      <w:r w:rsidRPr="00364225">
        <w:rPr>
          <w:b/>
          <w:lang w:val="hu-HU"/>
        </w:rPr>
        <w:t>= [</w:t>
      </w:r>
      <w:r w:rsidR="007F0FCE" w:rsidRPr="00364225">
        <w:rPr>
          <w:b/>
          <w:lang w:val="hu-HU"/>
        </w:rPr>
        <w:t>(</w:t>
      </w:r>
      <w:r w:rsidRPr="00364225">
        <w:rPr>
          <w:b/>
          <w:lang w:val="hu-HU"/>
        </w:rPr>
        <w:t xml:space="preserve">0,6 x </w:t>
      </w:r>
      <w:r w:rsidR="007F0FCE" w:rsidRPr="00364225">
        <w:rPr>
          <w:b/>
          <w:lang w:val="hu-HU"/>
        </w:rPr>
        <w:t>18)</w:t>
      </w:r>
      <w:r w:rsidRPr="00364225">
        <w:rPr>
          <w:b/>
          <w:vertAlign w:val="superscript"/>
          <w:lang w:val="hu-HU"/>
        </w:rPr>
        <w:t>2</w:t>
      </w:r>
      <w:r w:rsidR="007F0FCE" w:rsidRPr="00364225">
        <w:rPr>
          <w:b/>
          <w:lang w:val="hu-HU"/>
        </w:rPr>
        <w:t xml:space="preserve"> + (0,4 x 20)</w:t>
      </w:r>
      <w:r w:rsidRPr="00364225">
        <w:rPr>
          <w:b/>
          <w:vertAlign w:val="superscript"/>
          <w:lang w:val="hu-HU"/>
        </w:rPr>
        <w:t>2</w:t>
      </w:r>
      <w:r w:rsidR="007F0FCE" w:rsidRPr="00364225">
        <w:rPr>
          <w:b/>
          <w:lang w:val="hu-HU"/>
        </w:rPr>
        <w:t xml:space="preserve"> + 2 x 0,6 x 0,4 x 12</w:t>
      </w:r>
      <w:r w:rsidRPr="00364225">
        <w:rPr>
          <w:b/>
          <w:lang w:val="hu-HU"/>
        </w:rPr>
        <w:t>0] =</w:t>
      </w:r>
      <w:r w:rsidR="007F0FCE" w:rsidRPr="00364225">
        <w:rPr>
          <w:b/>
        </w:rPr>
        <w:t xml:space="preserve"> </w:t>
      </w:r>
      <w:r w:rsidR="007F0FCE" w:rsidRPr="00364225">
        <w:rPr>
          <w:b/>
          <w:lang w:val="hu-HU"/>
        </w:rPr>
        <w:t>238,24</w:t>
      </w:r>
    </w:p>
    <w:p w14:paraId="39E238D8" w14:textId="77777777" w:rsidR="00FA1EE4" w:rsidRPr="00364225" w:rsidRDefault="00FA1EE4" w:rsidP="00FA1EE4">
      <w:pPr>
        <w:jc w:val="both"/>
        <w:rPr>
          <w:b/>
        </w:rPr>
      </w:pPr>
      <w:r w:rsidRPr="00364225">
        <w:rPr>
          <w:b/>
          <w:lang w:val="el-GR"/>
        </w:rPr>
        <w:t>σ</w:t>
      </w:r>
      <w:r w:rsidRPr="00364225">
        <w:rPr>
          <w:b/>
          <w:vertAlign w:val="subscript"/>
          <w:lang w:val="hu-HU"/>
        </w:rPr>
        <w:t xml:space="preserve">p </w:t>
      </w:r>
      <w:r w:rsidR="007F0FCE" w:rsidRPr="00364225">
        <w:rPr>
          <w:b/>
          <w:lang w:val="hu-HU"/>
        </w:rPr>
        <w:t>=</w:t>
      </w:r>
      <w:r w:rsidR="003D2CAA" w:rsidRPr="00364225">
        <w:rPr>
          <w:b/>
          <w:lang w:val="hu-HU"/>
        </w:rPr>
        <w:t xml:space="preserve"> </w:t>
      </w:r>
      <w:r w:rsidR="00953141" w:rsidRPr="00364225">
        <w:rPr>
          <w:b/>
          <w:lang w:val="hu-HU"/>
        </w:rPr>
        <w:sym w:font="Symbol" w:char="F0D6"/>
      </w:r>
      <w:r w:rsidR="007F0FCE" w:rsidRPr="00364225">
        <w:rPr>
          <w:b/>
          <w:lang w:val="hu-HU"/>
        </w:rPr>
        <w:t>238,24 = 15</w:t>
      </w:r>
      <w:r w:rsidRPr="00364225">
        <w:rPr>
          <w:b/>
          <w:lang w:val="hu-HU"/>
        </w:rPr>
        <w:t>,</w:t>
      </w:r>
      <w:r w:rsidR="007F0FCE" w:rsidRPr="00364225">
        <w:rPr>
          <w:b/>
          <w:lang w:val="hu-HU"/>
        </w:rPr>
        <w:t>44</w:t>
      </w:r>
      <w:r w:rsidRPr="00364225">
        <w:rPr>
          <w:b/>
          <w:lang w:val="hu-HU"/>
        </w:rPr>
        <w:t>%</w:t>
      </w:r>
    </w:p>
    <w:p w14:paraId="36AB958E" w14:textId="77777777" w:rsidR="00FA1EE4" w:rsidRPr="00364225" w:rsidRDefault="00FA1EE4" w:rsidP="00FA1EE4">
      <w:pPr>
        <w:jc w:val="both"/>
        <w:rPr>
          <w:b/>
        </w:rPr>
      </w:pPr>
      <w:r w:rsidRPr="00364225">
        <w:rPr>
          <w:b/>
          <w:lang w:val="el-GR"/>
        </w:rPr>
        <w:t>β</w:t>
      </w:r>
      <w:r w:rsidRPr="00364225">
        <w:rPr>
          <w:b/>
          <w:lang w:val="hu-HU"/>
        </w:rPr>
        <w:t xml:space="preserve"> </w:t>
      </w:r>
      <w:r w:rsidR="003D2CAA" w:rsidRPr="00364225">
        <w:rPr>
          <w:b/>
          <w:lang w:val="hu-HU"/>
        </w:rPr>
        <w:t>= 0,6×0,7 + 0,4×1,1</w:t>
      </w:r>
      <w:r w:rsidRPr="00364225">
        <w:rPr>
          <w:b/>
          <w:lang w:val="hu-HU"/>
        </w:rPr>
        <w:t xml:space="preserve"> =</w:t>
      </w:r>
      <w:r w:rsidRPr="00364225">
        <w:rPr>
          <w:b/>
          <w:highlight w:val="yellow"/>
          <w:lang w:val="hu-HU"/>
        </w:rPr>
        <w:t xml:space="preserve"> </w:t>
      </w:r>
      <w:r w:rsidR="003D2CAA" w:rsidRPr="00364225">
        <w:rPr>
          <w:b/>
          <w:highlight w:val="yellow"/>
          <w:lang w:val="hu-HU"/>
        </w:rPr>
        <w:t>0,86</w:t>
      </w:r>
    </w:p>
    <w:p w14:paraId="6F952F51" w14:textId="77777777" w:rsidR="008C072E" w:rsidRPr="00364225" w:rsidRDefault="008C072E" w:rsidP="00FA1EE4">
      <w:pPr>
        <w:jc w:val="both"/>
      </w:pPr>
      <w:r w:rsidRPr="00364225">
        <w:rPr>
          <w:highlight w:val="green"/>
        </w:rPr>
        <w:t>b)</w:t>
      </w:r>
    </w:p>
    <w:p w14:paraId="4945223F" w14:textId="77777777" w:rsidR="008C072E" w:rsidRPr="00364225" w:rsidRDefault="008C072E" w:rsidP="00FA1EE4">
      <w:pPr>
        <w:jc w:val="both"/>
        <w:rPr>
          <w:b/>
        </w:rPr>
      </w:pPr>
      <w:r w:rsidRPr="00364225">
        <w:rPr>
          <w:b/>
        </w:rPr>
        <w:t>r</w:t>
      </w:r>
      <w:r w:rsidRPr="00364225">
        <w:rPr>
          <w:b/>
          <w:vertAlign w:val="subscript"/>
        </w:rPr>
        <w:t>f</w:t>
      </w:r>
      <w:r w:rsidR="009876DB" w:rsidRPr="00364225">
        <w:rPr>
          <w:b/>
        </w:rPr>
        <w:t xml:space="preserve"> =0,06</w:t>
      </w:r>
      <w:r w:rsidRPr="00364225">
        <w:rPr>
          <w:b/>
        </w:rPr>
        <w:t>; r</w:t>
      </w:r>
      <w:r w:rsidRPr="00364225">
        <w:rPr>
          <w:b/>
          <w:vertAlign w:val="subscript"/>
        </w:rPr>
        <w:t>m</w:t>
      </w:r>
      <w:r w:rsidRPr="00364225">
        <w:rPr>
          <w:b/>
        </w:rPr>
        <w:t>=0,14</w:t>
      </w:r>
    </w:p>
    <w:p w14:paraId="7C3FB369" w14:textId="77777777" w:rsidR="009876DB" w:rsidRPr="00364225" w:rsidRDefault="008C072E" w:rsidP="00FA1EE4">
      <w:pPr>
        <w:jc w:val="both"/>
        <w:rPr>
          <w:b/>
          <w:bCs/>
          <w:lang w:val="hu-HU"/>
        </w:rPr>
      </w:pPr>
      <w:r w:rsidRPr="00364225">
        <w:rPr>
          <w:b/>
        </w:rPr>
        <w:t xml:space="preserve">CAPM: </w:t>
      </w:r>
      <w:r w:rsidR="009876DB" w:rsidRPr="00364225">
        <w:rPr>
          <w:b/>
          <w:bCs/>
          <w:lang w:val="hu-HU"/>
        </w:rPr>
        <w:t>r</w:t>
      </w:r>
      <w:r w:rsidR="009876DB" w:rsidRPr="00364225">
        <w:rPr>
          <w:b/>
          <w:bCs/>
          <w:vertAlign w:val="subscript"/>
          <w:lang w:val="hu-HU"/>
        </w:rPr>
        <w:t>e</w:t>
      </w:r>
      <w:r w:rsidR="009876DB" w:rsidRPr="00364225">
        <w:rPr>
          <w:b/>
          <w:bCs/>
          <w:lang w:val="hu-HU"/>
        </w:rPr>
        <w:t>=r</w:t>
      </w:r>
      <w:r w:rsidR="009876DB" w:rsidRPr="00364225">
        <w:rPr>
          <w:b/>
          <w:bCs/>
          <w:vertAlign w:val="subscript"/>
          <w:lang w:val="hu-HU"/>
        </w:rPr>
        <w:t>f</w:t>
      </w:r>
      <w:r w:rsidR="009876DB" w:rsidRPr="00364225">
        <w:rPr>
          <w:b/>
          <w:bCs/>
          <w:lang w:val="hu-HU"/>
        </w:rPr>
        <w:t>+</w:t>
      </w:r>
      <w:r w:rsidR="009876DB" w:rsidRPr="00364225">
        <w:rPr>
          <w:b/>
          <w:bCs/>
          <w:highlight w:val="yellow"/>
          <w:lang w:val="el-GR"/>
        </w:rPr>
        <w:t>β</w:t>
      </w:r>
      <w:r w:rsidR="009876DB" w:rsidRPr="00364225">
        <w:rPr>
          <w:b/>
          <w:bCs/>
          <w:highlight w:val="yellow"/>
          <w:vertAlign w:val="subscript"/>
          <w:lang w:val="hu-HU"/>
        </w:rPr>
        <w:t>i</w:t>
      </w:r>
      <w:r w:rsidR="009876DB" w:rsidRPr="00364225">
        <w:rPr>
          <w:b/>
          <w:bCs/>
          <w:lang w:val="hu-HU"/>
        </w:rPr>
        <w:t>(r</w:t>
      </w:r>
      <w:r w:rsidR="009876DB" w:rsidRPr="00364225">
        <w:rPr>
          <w:b/>
          <w:bCs/>
          <w:vertAlign w:val="subscript"/>
          <w:lang w:val="hu-HU"/>
        </w:rPr>
        <w:t>m</w:t>
      </w:r>
      <w:r w:rsidR="009876DB" w:rsidRPr="00364225">
        <w:rPr>
          <w:b/>
          <w:bCs/>
          <w:lang w:val="hu-HU"/>
        </w:rPr>
        <w:t>-r</w:t>
      </w:r>
      <w:r w:rsidR="009876DB" w:rsidRPr="00364225">
        <w:rPr>
          <w:b/>
          <w:bCs/>
          <w:vertAlign w:val="subscript"/>
          <w:lang w:val="hu-HU"/>
        </w:rPr>
        <w:t>f</w:t>
      </w:r>
      <w:r w:rsidR="009876DB" w:rsidRPr="00364225">
        <w:rPr>
          <w:b/>
          <w:bCs/>
          <w:lang w:val="hu-HU"/>
        </w:rPr>
        <w:t xml:space="preserve">) = 0,06 + </w:t>
      </w:r>
      <w:r w:rsidR="009876DB" w:rsidRPr="00364225">
        <w:rPr>
          <w:b/>
          <w:bCs/>
          <w:highlight w:val="yellow"/>
          <w:lang w:val="hu-HU"/>
        </w:rPr>
        <w:t>0,86</w:t>
      </w:r>
      <w:r w:rsidR="009876DB" w:rsidRPr="00364225">
        <w:rPr>
          <w:b/>
          <w:bCs/>
          <w:lang w:val="hu-HU"/>
        </w:rPr>
        <w:t xml:space="preserve"> x (0,14 - 0,06) = 0,1288</w:t>
      </w:r>
    </w:p>
    <w:p w14:paraId="32D2ABE5" w14:textId="77777777" w:rsidR="009876DB" w:rsidRPr="00364225" w:rsidRDefault="009876DB" w:rsidP="0059148B">
      <w:pPr>
        <w:pBdr>
          <w:bottom w:val="single" w:sz="4" w:space="1" w:color="auto"/>
        </w:pBd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--› 12,88%</w:t>
      </w:r>
    </w:p>
    <w:p w14:paraId="571947A2" w14:textId="77777777" w:rsidR="00630D01" w:rsidRPr="00364225" w:rsidRDefault="00630D01" w:rsidP="00FA1EE4">
      <w:pPr>
        <w:jc w:val="both"/>
        <w:rPr>
          <w:b/>
          <w:bCs/>
          <w:lang w:val="hu-HU"/>
        </w:rPr>
      </w:pPr>
    </w:p>
    <w:p w14:paraId="7FDDEAB7" w14:textId="77777777" w:rsidR="00630D01" w:rsidRPr="00364225" w:rsidRDefault="00C3188B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5.feladat</w:t>
      </w:r>
    </w:p>
    <w:p w14:paraId="7F8258A6" w14:textId="77777777" w:rsidR="00D0073E" w:rsidRPr="00364225" w:rsidRDefault="00882FFF" w:rsidP="00C3188B">
      <w:pPr>
        <w:jc w:val="both"/>
        <w:rPr>
          <w:bCs/>
          <w:lang w:val="hu-HU"/>
        </w:rPr>
      </w:pPr>
      <w:r w:rsidRPr="00364225">
        <w:rPr>
          <w:bCs/>
          <w:lang w:val="hu-HU"/>
        </w:rPr>
        <w:t>Két egymást kölcsönösen kizáró beruházással kapcsolatos pénzáramok a következők</w:t>
      </w:r>
      <w:r w:rsidR="00C3188B" w:rsidRPr="00364225">
        <w:rPr>
          <w:bCs/>
          <w:lang w:val="hu-HU"/>
        </w:rPr>
        <w:t xml:space="preserve"> (e Ft)</w:t>
      </w:r>
      <w:r w:rsidRPr="00364225">
        <w:rPr>
          <w:bCs/>
          <w:lang w:val="hu-HU"/>
        </w:rPr>
        <w:t>:</w:t>
      </w:r>
    </w:p>
    <w:p w14:paraId="468FE758" w14:textId="77777777" w:rsidR="00C3188B" w:rsidRPr="00364225" w:rsidRDefault="00C3188B" w:rsidP="00C3188B">
      <w:pPr>
        <w:jc w:val="both"/>
        <w:rPr>
          <w:bCs/>
          <w:lang w:val="hu-HU"/>
        </w:rPr>
      </w:pPr>
      <w:r w:rsidRPr="00364225">
        <w:rPr>
          <w:bCs/>
          <w:lang w:val="hu-HU"/>
        </w:rPr>
        <w:tab/>
      </w:r>
      <w:r w:rsidRPr="00364225">
        <w:rPr>
          <w:bCs/>
          <w:lang w:val="hu-HU"/>
        </w:rPr>
        <w:tab/>
      </w:r>
    </w:p>
    <w:tbl>
      <w:tblPr>
        <w:tblW w:w="7125" w:type="dxa"/>
        <w:tblInd w:w="-12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1"/>
        <w:gridCol w:w="2442"/>
        <w:gridCol w:w="2442"/>
      </w:tblGrid>
      <w:tr w:rsidR="00C3188B" w:rsidRPr="00364225" w14:paraId="40D34218" w14:textId="77777777" w:rsidTr="00C3188B">
        <w:trPr>
          <w:trHeight w:val="209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AEB5F" w14:textId="77777777" w:rsidR="00C3188B" w:rsidRPr="00364225" w:rsidRDefault="00C3188B" w:rsidP="00C3188B">
            <w:pPr>
              <w:jc w:val="center"/>
              <w:rPr>
                <w:bCs/>
              </w:rPr>
            </w:pP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44B2A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/>
                <w:bCs/>
                <w:lang w:val="hu-HU"/>
              </w:rPr>
              <w:t>A beruházás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4782E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/>
                <w:bCs/>
                <w:lang w:val="hu-HU"/>
              </w:rPr>
              <w:t>B beruházás</w:t>
            </w:r>
          </w:p>
        </w:tc>
      </w:tr>
      <w:tr w:rsidR="00C3188B" w:rsidRPr="00364225" w14:paraId="534B0726" w14:textId="77777777" w:rsidTr="00C3188B">
        <w:trPr>
          <w:trHeight w:val="206"/>
        </w:trPr>
        <w:tc>
          <w:tcPr>
            <w:tcW w:w="22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B7434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ÉV</w:t>
            </w:r>
          </w:p>
        </w:tc>
        <w:tc>
          <w:tcPr>
            <w:tcW w:w="2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C5AE6D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Becsült pénzáramok</w:t>
            </w:r>
          </w:p>
        </w:tc>
        <w:tc>
          <w:tcPr>
            <w:tcW w:w="2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18D00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Becsült pénzáramok</w:t>
            </w:r>
          </w:p>
        </w:tc>
      </w:tr>
      <w:tr w:rsidR="00C3188B" w:rsidRPr="00364225" w14:paraId="3990020C" w14:textId="77777777" w:rsidTr="00C3188B">
        <w:trPr>
          <w:trHeight w:val="206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E27F5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2F8BBD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-10000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0B22C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-6000</w:t>
            </w:r>
          </w:p>
        </w:tc>
      </w:tr>
      <w:tr w:rsidR="00C3188B" w:rsidRPr="00364225" w14:paraId="5DEB8406" w14:textId="77777777" w:rsidTr="00C3188B">
        <w:trPr>
          <w:trHeight w:val="206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B6BCF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1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3E228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highlight w:val="yellow"/>
                <w:lang w:val="hu-HU"/>
              </w:rPr>
              <w:t>3</w:t>
            </w:r>
            <w:r w:rsidRPr="00364225">
              <w:rPr>
                <w:bCs/>
                <w:lang w:val="hu-HU"/>
              </w:rPr>
              <w:t>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17D8F8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highlight w:val="yellow"/>
                <w:lang w:val="hu-HU"/>
              </w:rPr>
              <w:t>3</w:t>
            </w:r>
            <w:r w:rsidRPr="00364225">
              <w:rPr>
                <w:bCs/>
                <w:lang w:val="hu-HU"/>
              </w:rPr>
              <w:t>000</w:t>
            </w:r>
          </w:p>
        </w:tc>
      </w:tr>
      <w:tr w:rsidR="00C3188B" w:rsidRPr="00364225" w14:paraId="38F8D1E0" w14:textId="77777777" w:rsidTr="00C3188B">
        <w:trPr>
          <w:trHeight w:val="206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34C39B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2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40DA97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3000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E9F0F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3000</w:t>
            </w:r>
          </w:p>
        </w:tc>
      </w:tr>
      <w:tr w:rsidR="00C3188B" w:rsidRPr="00364225" w14:paraId="490CFCD2" w14:textId="77777777" w:rsidTr="00C3188B">
        <w:trPr>
          <w:trHeight w:val="206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984688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3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D6A62D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3000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1CCDD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highlight w:val="yellow"/>
              </w:rPr>
              <w:t>3</w:t>
            </w:r>
            <w:r w:rsidRPr="00364225">
              <w:rPr>
                <w:bCs/>
              </w:rPr>
              <w:t>000</w:t>
            </w:r>
          </w:p>
        </w:tc>
      </w:tr>
      <w:tr w:rsidR="00C3188B" w:rsidRPr="00364225" w14:paraId="0DB4F912" w14:textId="77777777" w:rsidTr="00C3188B">
        <w:trPr>
          <w:trHeight w:val="190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4BE985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4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4A5602" w14:textId="77777777" w:rsidR="00C3188B" w:rsidRPr="00364225" w:rsidRDefault="00C3188B" w:rsidP="00C3188B">
            <w:pPr>
              <w:jc w:val="center"/>
              <w:rPr>
                <w:bCs/>
              </w:rPr>
            </w:pPr>
            <w:r w:rsidRPr="00364225">
              <w:rPr>
                <w:bCs/>
                <w:lang w:val="hu-HU"/>
              </w:rPr>
              <w:t>3000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2312B" w14:textId="77777777" w:rsidR="00C3188B" w:rsidRPr="00364225" w:rsidRDefault="00C3188B" w:rsidP="00C3188B">
            <w:pPr>
              <w:jc w:val="center"/>
              <w:rPr>
                <w:bCs/>
              </w:rPr>
            </w:pPr>
          </w:p>
        </w:tc>
      </w:tr>
      <w:tr w:rsidR="00C3188B" w:rsidRPr="00364225" w14:paraId="2E8A012B" w14:textId="77777777" w:rsidTr="00C3188B">
        <w:trPr>
          <w:trHeight w:val="190"/>
        </w:trPr>
        <w:tc>
          <w:tcPr>
            <w:tcW w:w="2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3CEB9" w14:textId="77777777" w:rsidR="00C3188B" w:rsidRPr="00364225" w:rsidRDefault="00C3188B" w:rsidP="00C3188B">
            <w:pPr>
              <w:jc w:val="center"/>
              <w:rPr>
                <w:bCs/>
                <w:lang w:val="hu-HU"/>
              </w:rPr>
            </w:pPr>
            <w:r w:rsidRPr="00364225">
              <w:rPr>
                <w:bCs/>
                <w:highlight w:val="yellow"/>
                <w:lang w:val="hu-HU"/>
              </w:rPr>
              <w:t>5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E8F55" w14:textId="77777777" w:rsidR="00C3188B" w:rsidRPr="00364225" w:rsidRDefault="00C3188B" w:rsidP="00C3188B">
            <w:pPr>
              <w:jc w:val="center"/>
              <w:rPr>
                <w:bCs/>
                <w:lang w:val="hu-HU"/>
              </w:rPr>
            </w:pPr>
            <w:r w:rsidRPr="00364225">
              <w:rPr>
                <w:bCs/>
                <w:highlight w:val="yellow"/>
                <w:lang w:val="hu-HU"/>
              </w:rPr>
              <w:t>3</w:t>
            </w:r>
            <w:r w:rsidRPr="00364225">
              <w:rPr>
                <w:bCs/>
                <w:lang w:val="hu-HU"/>
              </w:rPr>
              <w:t>000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DA118" w14:textId="77777777" w:rsidR="00C3188B" w:rsidRPr="00364225" w:rsidRDefault="00C3188B" w:rsidP="00C3188B">
            <w:pPr>
              <w:jc w:val="center"/>
              <w:rPr>
                <w:bCs/>
              </w:rPr>
            </w:pPr>
          </w:p>
        </w:tc>
      </w:tr>
    </w:tbl>
    <w:p w14:paraId="7F5B943A" w14:textId="77777777" w:rsidR="00C3188B" w:rsidRPr="00364225" w:rsidRDefault="00C3188B" w:rsidP="00C3188B">
      <w:pPr>
        <w:jc w:val="center"/>
        <w:rPr>
          <w:bCs/>
        </w:rPr>
      </w:pPr>
    </w:p>
    <w:p w14:paraId="77526B74" w14:textId="77777777" w:rsidR="00C3188B" w:rsidRPr="00364225" w:rsidRDefault="00C3188B" w:rsidP="00C3188B">
      <w:pPr>
        <w:jc w:val="both"/>
        <w:rPr>
          <w:bCs/>
        </w:rPr>
      </w:pPr>
      <w:r w:rsidRPr="00364225">
        <w:rPr>
          <w:bCs/>
          <w:lang w:val="hu-HU"/>
        </w:rPr>
        <w:t xml:space="preserve">A tőke alternatíva költsége: </w:t>
      </w:r>
      <w:r w:rsidRPr="00364225">
        <w:rPr>
          <w:bCs/>
          <w:highlight w:val="yellow"/>
          <w:lang w:val="hu-HU"/>
        </w:rPr>
        <w:t>10</w:t>
      </w:r>
      <w:r w:rsidRPr="00364225">
        <w:rPr>
          <w:bCs/>
          <w:lang w:val="hu-HU"/>
        </w:rPr>
        <w:t>%. A befektetések nettó jelenértéke és jövedelmezőségi indexe (PI) alapján melyik lehetőséget tartja megfelelőnek? AF(10% ,5) = 3,791 AF(10% ,3) = 2,487</w:t>
      </w:r>
    </w:p>
    <w:p w14:paraId="2FF1410B" w14:textId="77777777" w:rsidR="00C3188B" w:rsidRPr="00364225" w:rsidRDefault="00C3188B" w:rsidP="00C3188B">
      <w:pPr>
        <w:jc w:val="both"/>
        <w:rPr>
          <w:bCs/>
        </w:rPr>
      </w:pPr>
    </w:p>
    <w:p w14:paraId="55591F3B" w14:textId="77777777" w:rsidR="00C3188B" w:rsidRPr="00364225" w:rsidRDefault="00882AF7" w:rsidP="00FA1EE4">
      <w:pPr>
        <w:jc w:val="both"/>
        <w:rPr>
          <w:bCs/>
          <w:lang w:val="hu-HU"/>
        </w:rPr>
      </w:pPr>
      <w:r w:rsidRPr="00364225">
        <w:rPr>
          <w:bCs/>
          <w:lang w:val="hu-HU"/>
        </w:rPr>
        <w:t>MEGOLDÁS</w:t>
      </w:r>
    </w:p>
    <w:p w14:paraId="57100B46" w14:textId="77777777" w:rsidR="00882AF7" w:rsidRPr="00364225" w:rsidRDefault="00882AF7" w:rsidP="00FA1EE4">
      <w:pPr>
        <w:jc w:val="both"/>
        <w:rPr>
          <w:bCs/>
          <w:lang w:val="hu-HU"/>
        </w:rPr>
      </w:pPr>
    </w:p>
    <w:p w14:paraId="1D8D6B67" w14:textId="77777777" w:rsidR="00882AF7" w:rsidRPr="00364225" w:rsidRDefault="00882AF7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NPV</w:t>
      </w:r>
      <w:r w:rsidRPr="00364225">
        <w:rPr>
          <w:b/>
          <w:bCs/>
          <w:vertAlign w:val="subscript"/>
          <w:lang w:val="hu-HU"/>
        </w:rPr>
        <w:t>A</w:t>
      </w:r>
      <w:r w:rsidRPr="00364225">
        <w:rPr>
          <w:b/>
          <w:bCs/>
          <w:lang w:val="hu-HU"/>
        </w:rPr>
        <w:t xml:space="preserve"> = -10 000+3 000 x AF(10% ,5) = 1373</w:t>
      </w:r>
    </w:p>
    <w:p w14:paraId="555E0244" w14:textId="77777777" w:rsidR="00882AF7" w:rsidRPr="00364225" w:rsidRDefault="00882AF7" w:rsidP="0059148B">
      <w:pPr>
        <w:pBdr>
          <w:bottom w:val="single" w:sz="4" w:space="1" w:color="auto"/>
        </w:pBd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NPV</w:t>
      </w:r>
      <w:r w:rsidRPr="00364225">
        <w:rPr>
          <w:b/>
          <w:bCs/>
          <w:vertAlign w:val="subscript"/>
          <w:lang w:val="hu-HU"/>
        </w:rPr>
        <w:t>B</w:t>
      </w:r>
      <w:r w:rsidRPr="00364225">
        <w:rPr>
          <w:b/>
          <w:bCs/>
          <w:lang w:val="hu-HU"/>
        </w:rPr>
        <w:t xml:space="preserve"> = -6 000+3 000 x AF(10% ,3) = 1461</w:t>
      </w:r>
    </w:p>
    <w:p w14:paraId="1289DF38" w14:textId="77777777" w:rsidR="00D0073E" w:rsidRPr="00364225" w:rsidRDefault="00882FFF" w:rsidP="00882AF7">
      <w:pPr>
        <w:jc w:val="both"/>
        <w:rPr>
          <w:b/>
          <w:bCs/>
        </w:rPr>
      </w:pPr>
      <w:r w:rsidRPr="00364225">
        <w:rPr>
          <w:b/>
          <w:bCs/>
          <w:lang w:val="hu-HU"/>
        </w:rPr>
        <w:t>PI</w:t>
      </w:r>
      <w:r w:rsidRPr="00364225">
        <w:rPr>
          <w:b/>
          <w:bCs/>
          <w:vertAlign w:val="subscript"/>
          <w:lang w:val="hu-HU"/>
        </w:rPr>
        <w:t>A</w:t>
      </w:r>
      <w:r w:rsidRPr="00364225">
        <w:rPr>
          <w:b/>
          <w:bCs/>
          <w:lang w:val="hu-HU"/>
        </w:rPr>
        <w:t xml:space="preserve"> = </w:t>
      </w:r>
      <w:r w:rsidR="00882AF7" w:rsidRPr="00364225">
        <w:rPr>
          <w:b/>
          <w:bCs/>
          <w:lang w:val="hu-HU"/>
        </w:rPr>
        <w:t>11373</w:t>
      </w:r>
      <w:r w:rsidRPr="00364225">
        <w:rPr>
          <w:b/>
          <w:bCs/>
          <w:lang w:val="hu-HU"/>
        </w:rPr>
        <w:t>/10 000 = 1,</w:t>
      </w:r>
      <w:r w:rsidR="00882AF7" w:rsidRPr="00364225">
        <w:rPr>
          <w:b/>
          <w:bCs/>
          <w:lang w:val="hu-HU"/>
        </w:rPr>
        <w:t>1373</w:t>
      </w:r>
    </w:p>
    <w:p w14:paraId="4E452C21" w14:textId="77777777" w:rsidR="00D0073E" w:rsidRPr="00364225" w:rsidRDefault="00882FFF" w:rsidP="00882AF7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PI</w:t>
      </w:r>
      <w:r w:rsidRPr="00364225">
        <w:rPr>
          <w:b/>
          <w:bCs/>
          <w:vertAlign w:val="subscript"/>
          <w:lang w:val="hu-HU"/>
        </w:rPr>
        <w:t>B</w:t>
      </w:r>
      <w:r w:rsidRPr="00364225">
        <w:rPr>
          <w:b/>
          <w:bCs/>
          <w:lang w:val="hu-HU"/>
        </w:rPr>
        <w:t xml:space="preserve"> = </w:t>
      </w:r>
      <w:r w:rsidR="00882AF7" w:rsidRPr="00364225">
        <w:rPr>
          <w:b/>
          <w:bCs/>
          <w:lang w:val="hu-HU"/>
        </w:rPr>
        <w:t>7461</w:t>
      </w:r>
      <w:r w:rsidRPr="00364225">
        <w:rPr>
          <w:b/>
          <w:bCs/>
          <w:lang w:val="hu-HU"/>
        </w:rPr>
        <w:t>/ 6 000 = 1,</w:t>
      </w:r>
      <w:r w:rsidR="00882AF7" w:rsidRPr="00364225">
        <w:rPr>
          <w:b/>
          <w:bCs/>
          <w:lang w:val="hu-HU"/>
        </w:rPr>
        <w:t>2435</w:t>
      </w:r>
    </w:p>
    <w:p w14:paraId="4EBABE16" w14:textId="77777777" w:rsidR="00882AF7" w:rsidRPr="00364225" w:rsidRDefault="00882FFF" w:rsidP="0059148B">
      <w:pPr>
        <w:pBdr>
          <w:bottom w:val="single" w:sz="4" w:space="1" w:color="auto"/>
        </w:pBdr>
        <w:jc w:val="both"/>
        <w:rPr>
          <w:b/>
          <w:bCs/>
        </w:rPr>
      </w:pPr>
      <w:r w:rsidRPr="00364225">
        <w:rPr>
          <w:b/>
          <w:bCs/>
          <w:lang w:val="hu-HU"/>
        </w:rPr>
        <w:t>Mindkét beruházás esetében PI&gt;1</w:t>
      </w:r>
    </w:p>
    <w:p w14:paraId="6D1B327F" w14:textId="77777777" w:rsidR="00D0073E" w:rsidRPr="00364225" w:rsidRDefault="00882FFF" w:rsidP="00607A72">
      <w:pPr>
        <w:jc w:val="both"/>
        <w:rPr>
          <w:b/>
          <w:bCs/>
        </w:rPr>
      </w:pPr>
      <w:r w:rsidRPr="00364225">
        <w:rPr>
          <w:b/>
          <w:bCs/>
          <w:lang w:val="hu-HU"/>
        </w:rPr>
        <w:t>NPV</w:t>
      </w:r>
      <w:r w:rsidRPr="00364225">
        <w:rPr>
          <w:b/>
          <w:bCs/>
          <w:vertAlign w:val="subscript"/>
          <w:lang w:val="hu-HU"/>
        </w:rPr>
        <w:t>A</w:t>
      </w:r>
      <w:r w:rsidRPr="00364225">
        <w:rPr>
          <w:b/>
          <w:bCs/>
          <w:lang w:val="hu-HU"/>
        </w:rPr>
        <w:t xml:space="preserve"> egyenértékes = </w:t>
      </w:r>
      <w:r w:rsidR="00607A72" w:rsidRPr="00364225">
        <w:rPr>
          <w:b/>
          <w:bCs/>
          <w:lang w:val="hu-HU"/>
        </w:rPr>
        <w:t xml:space="preserve">1373/AF(10% ,5) </w:t>
      </w:r>
      <w:r w:rsidRPr="00364225">
        <w:rPr>
          <w:b/>
          <w:bCs/>
          <w:lang w:val="hu-HU"/>
        </w:rPr>
        <w:t xml:space="preserve">= </w:t>
      </w:r>
      <w:r w:rsidR="00607A72" w:rsidRPr="00364225">
        <w:rPr>
          <w:b/>
          <w:bCs/>
          <w:lang w:val="hu-HU"/>
        </w:rPr>
        <w:t>362,2</w:t>
      </w:r>
      <w:r w:rsidRPr="00364225">
        <w:rPr>
          <w:b/>
          <w:bCs/>
          <w:lang w:val="hu-HU"/>
        </w:rPr>
        <w:t>/év</w:t>
      </w:r>
    </w:p>
    <w:p w14:paraId="476D308A" w14:textId="77777777" w:rsidR="00607A72" w:rsidRPr="00364225" w:rsidRDefault="00882FFF" w:rsidP="0059148B">
      <w:pPr>
        <w:pBdr>
          <w:bottom w:val="single" w:sz="4" w:space="1" w:color="auto"/>
        </w:pBdr>
        <w:jc w:val="both"/>
        <w:rPr>
          <w:b/>
          <w:bCs/>
        </w:rPr>
      </w:pPr>
      <w:r w:rsidRPr="00364225">
        <w:rPr>
          <w:b/>
          <w:bCs/>
          <w:lang w:val="hu-HU"/>
        </w:rPr>
        <w:t>NPV</w:t>
      </w:r>
      <w:r w:rsidRPr="00364225">
        <w:rPr>
          <w:b/>
          <w:bCs/>
          <w:vertAlign w:val="subscript"/>
          <w:lang w:val="hu-HU"/>
        </w:rPr>
        <w:t>B</w:t>
      </w:r>
      <w:r w:rsidRPr="00364225">
        <w:rPr>
          <w:b/>
          <w:bCs/>
          <w:lang w:val="hu-HU"/>
        </w:rPr>
        <w:t xml:space="preserve"> egyenértékes = </w:t>
      </w:r>
      <w:r w:rsidR="00607A72" w:rsidRPr="00364225">
        <w:rPr>
          <w:b/>
          <w:bCs/>
          <w:lang w:val="hu-HU"/>
        </w:rPr>
        <w:t>1461</w:t>
      </w:r>
      <w:r w:rsidRPr="00364225">
        <w:rPr>
          <w:b/>
          <w:bCs/>
          <w:lang w:val="hu-HU"/>
        </w:rPr>
        <w:t>/</w:t>
      </w:r>
      <w:r w:rsidR="00607A72" w:rsidRPr="00364225">
        <w:rPr>
          <w:b/>
          <w:bCs/>
          <w:lang w:val="hu-HU"/>
        </w:rPr>
        <w:t xml:space="preserve"> AF(10% ,3)</w:t>
      </w:r>
      <w:r w:rsidRPr="00364225">
        <w:rPr>
          <w:b/>
          <w:bCs/>
          <w:lang w:val="hu-HU"/>
        </w:rPr>
        <w:t xml:space="preserve"> =</w:t>
      </w:r>
      <w:r w:rsidR="00607A72" w:rsidRPr="00364225">
        <w:rPr>
          <w:b/>
          <w:bCs/>
          <w:lang w:val="hu-HU"/>
        </w:rPr>
        <w:t>587,5</w:t>
      </w:r>
      <w:r w:rsidRPr="00364225">
        <w:rPr>
          <w:b/>
          <w:bCs/>
          <w:lang w:val="hu-HU"/>
        </w:rPr>
        <w:t>/év</w:t>
      </w:r>
    </w:p>
    <w:p w14:paraId="42EC0875" w14:textId="77777777" w:rsidR="00607A72" w:rsidRPr="00364225" w:rsidRDefault="00607A72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B beruházást kell választani!</w:t>
      </w:r>
    </w:p>
    <w:p w14:paraId="740D40AD" w14:textId="77777777" w:rsidR="005B1FDD" w:rsidRPr="00364225" w:rsidRDefault="005B1FDD" w:rsidP="00FA1EE4">
      <w:pPr>
        <w:jc w:val="both"/>
        <w:rPr>
          <w:b/>
          <w:bCs/>
          <w:lang w:val="hu-HU"/>
        </w:rPr>
      </w:pPr>
    </w:p>
    <w:p w14:paraId="3B771453" w14:textId="77777777" w:rsidR="005B1FDD" w:rsidRPr="00364225" w:rsidRDefault="005B1FDD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6.feladat</w:t>
      </w:r>
    </w:p>
    <w:p w14:paraId="62538825" w14:textId="77777777" w:rsidR="00D0073E" w:rsidRPr="00364225" w:rsidRDefault="00882FFF" w:rsidP="005B1FDD">
      <w:pPr>
        <w:jc w:val="both"/>
        <w:rPr>
          <w:bCs/>
        </w:rPr>
      </w:pPr>
      <w:r w:rsidRPr="00364225">
        <w:rPr>
          <w:bCs/>
          <w:iCs/>
          <w:lang w:val="hu-HU"/>
        </w:rPr>
        <w:t>Egy Rt. tőkeszerk</w:t>
      </w:r>
      <w:r w:rsidR="005B1FDD" w:rsidRPr="00364225">
        <w:rPr>
          <w:bCs/>
          <w:iCs/>
          <w:lang w:val="hu-HU"/>
        </w:rPr>
        <w:t xml:space="preserve">ezete a következő: saját tőke </w:t>
      </w:r>
      <w:r w:rsidR="005B1FDD" w:rsidRPr="00364225">
        <w:rPr>
          <w:bCs/>
          <w:iCs/>
          <w:highlight w:val="yellow"/>
          <w:lang w:val="hu-HU"/>
        </w:rPr>
        <w:t>70</w:t>
      </w:r>
      <w:r w:rsidRPr="00364225">
        <w:rPr>
          <w:bCs/>
          <w:iCs/>
          <w:lang w:val="hu-HU"/>
        </w:rPr>
        <w:t xml:space="preserve">% (ebből törzsrészvény 60%, a többi elsőbbségi részvény), hosszú lejáratú kölcsön </w:t>
      </w:r>
      <w:r w:rsidR="005B1FDD" w:rsidRPr="00364225">
        <w:rPr>
          <w:bCs/>
          <w:iCs/>
          <w:highlight w:val="yellow"/>
          <w:lang w:val="hu-HU"/>
        </w:rPr>
        <w:t>30</w:t>
      </w:r>
      <w:r w:rsidRPr="00364225">
        <w:rPr>
          <w:bCs/>
          <w:iCs/>
          <w:lang w:val="hu-HU"/>
        </w:rPr>
        <w:t>%</w:t>
      </w:r>
      <w:r w:rsidR="005B1FDD" w:rsidRPr="00364225">
        <w:rPr>
          <w:bCs/>
        </w:rPr>
        <w:t xml:space="preserve">. </w:t>
      </w:r>
      <w:r w:rsidRPr="00364225">
        <w:rPr>
          <w:bCs/>
          <w:iCs/>
          <w:lang w:val="hu-HU"/>
        </w:rPr>
        <w:t xml:space="preserve">A törzsrészvény tulajdonosok által elvárt hozama </w:t>
      </w:r>
      <w:r w:rsidRPr="00364225">
        <w:rPr>
          <w:bCs/>
          <w:iCs/>
          <w:highlight w:val="yellow"/>
          <w:lang w:val="hu-HU"/>
        </w:rPr>
        <w:t>1</w:t>
      </w:r>
      <w:r w:rsidR="005B1FDD" w:rsidRPr="00364225">
        <w:rPr>
          <w:bCs/>
          <w:iCs/>
          <w:highlight w:val="yellow"/>
          <w:lang w:val="hu-HU"/>
        </w:rPr>
        <w:t>6</w:t>
      </w:r>
      <w:r w:rsidRPr="00364225">
        <w:rPr>
          <w:bCs/>
          <w:iCs/>
          <w:lang w:val="hu-HU"/>
        </w:rPr>
        <w:t>%, az elsőbbségi r</w:t>
      </w:r>
      <w:r w:rsidR="005B1FDD" w:rsidRPr="00364225">
        <w:rPr>
          <w:bCs/>
          <w:iCs/>
          <w:lang w:val="hu-HU"/>
        </w:rPr>
        <w:t xml:space="preserve">észvények garantált osztaléka </w:t>
      </w:r>
      <w:r w:rsidR="005B1FDD" w:rsidRPr="00364225">
        <w:rPr>
          <w:bCs/>
          <w:iCs/>
          <w:highlight w:val="yellow"/>
          <w:lang w:val="hu-HU"/>
        </w:rPr>
        <w:t>12</w:t>
      </w:r>
      <w:r w:rsidRPr="00364225">
        <w:rPr>
          <w:bCs/>
          <w:iCs/>
          <w:lang w:val="hu-HU"/>
        </w:rPr>
        <w:t>%. A köl</w:t>
      </w:r>
      <w:r w:rsidR="005B1FDD" w:rsidRPr="00364225">
        <w:rPr>
          <w:bCs/>
          <w:iCs/>
          <w:lang w:val="hu-HU"/>
        </w:rPr>
        <w:t xml:space="preserve">csönt terhelő bruttó hiteldíj </w:t>
      </w:r>
      <w:r w:rsidR="005B1FDD" w:rsidRPr="00364225">
        <w:rPr>
          <w:bCs/>
          <w:iCs/>
          <w:highlight w:val="yellow"/>
          <w:lang w:val="hu-HU"/>
        </w:rPr>
        <w:t>10</w:t>
      </w:r>
      <w:r w:rsidR="005B1FDD" w:rsidRPr="00364225">
        <w:rPr>
          <w:bCs/>
          <w:iCs/>
          <w:lang w:val="hu-HU"/>
        </w:rPr>
        <w:t xml:space="preserve">%. A társasági adó mértéke </w:t>
      </w:r>
      <w:r w:rsidR="005B1FDD" w:rsidRPr="00364225">
        <w:rPr>
          <w:bCs/>
          <w:iCs/>
          <w:highlight w:val="yellow"/>
          <w:lang w:val="hu-HU"/>
        </w:rPr>
        <w:t>25</w:t>
      </w:r>
      <w:r w:rsidRPr="00364225">
        <w:rPr>
          <w:bCs/>
          <w:iCs/>
          <w:lang w:val="hu-HU"/>
        </w:rPr>
        <w:t>%. Határozza meg a vállalati átlagos tőkeköltséget!</w:t>
      </w:r>
    </w:p>
    <w:p w14:paraId="399AE509" w14:textId="77777777" w:rsidR="005B1FDD" w:rsidRPr="00364225" w:rsidRDefault="005B1FDD" w:rsidP="00FA1EE4">
      <w:pPr>
        <w:jc w:val="both"/>
        <w:rPr>
          <w:b/>
          <w:bCs/>
          <w:lang w:val="hu-HU"/>
        </w:rPr>
      </w:pPr>
    </w:p>
    <w:p w14:paraId="06514BD6" w14:textId="77777777" w:rsidR="005B1FDD" w:rsidRPr="00364225" w:rsidRDefault="005B1FDD" w:rsidP="00FA1EE4">
      <w:pPr>
        <w:jc w:val="both"/>
        <w:rPr>
          <w:bCs/>
          <w:lang w:val="hu-HU"/>
        </w:rPr>
      </w:pPr>
      <w:r w:rsidRPr="00364225">
        <w:rPr>
          <w:bCs/>
          <w:lang w:val="hu-HU"/>
        </w:rPr>
        <w:t>MEGOLDÁS</w:t>
      </w:r>
    </w:p>
    <w:p w14:paraId="77D701BE" w14:textId="77777777" w:rsidR="00607A72" w:rsidRPr="00364225" w:rsidRDefault="00607A72" w:rsidP="00FA1EE4">
      <w:pPr>
        <w:jc w:val="both"/>
        <w:rPr>
          <w:b/>
          <w:bCs/>
          <w:lang w:val="hu-HU"/>
        </w:rPr>
      </w:pPr>
    </w:p>
    <w:p w14:paraId="0E6ACE49" w14:textId="77777777" w:rsidR="00D0073E" w:rsidRPr="00364225" w:rsidRDefault="00882FFF" w:rsidP="002014A6">
      <w:pPr>
        <w:jc w:val="both"/>
        <w:rPr>
          <w:b/>
          <w:bCs/>
          <w:lang w:val="de-DE"/>
        </w:rPr>
      </w:pPr>
      <w:r w:rsidRPr="00364225">
        <w:rPr>
          <w:b/>
          <w:bCs/>
          <w:lang w:val="de-DE"/>
        </w:rPr>
        <w:t>r</w:t>
      </w:r>
      <w:r w:rsidRPr="00364225">
        <w:rPr>
          <w:b/>
          <w:bCs/>
          <w:vertAlign w:val="subscript"/>
          <w:lang w:val="de-DE"/>
        </w:rPr>
        <w:t>e</w:t>
      </w:r>
      <w:r w:rsidR="002014A6" w:rsidRPr="00364225">
        <w:rPr>
          <w:b/>
          <w:bCs/>
          <w:lang w:val="de-DE"/>
        </w:rPr>
        <w:t>= 0,16</w:t>
      </w:r>
      <w:r w:rsidRPr="00364225">
        <w:rPr>
          <w:b/>
          <w:bCs/>
          <w:lang w:val="hu-HU"/>
        </w:rPr>
        <w:t xml:space="preserve">; </w:t>
      </w:r>
      <w:r w:rsidRPr="00364225">
        <w:rPr>
          <w:b/>
          <w:bCs/>
          <w:lang w:val="de-DE"/>
        </w:rPr>
        <w:t xml:space="preserve"> r</w:t>
      </w:r>
      <w:r w:rsidRPr="00364225">
        <w:rPr>
          <w:b/>
          <w:bCs/>
          <w:vertAlign w:val="subscript"/>
          <w:lang w:val="de-DE"/>
        </w:rPr>
        <w:t>p</w:t>
      </w:r>
      <w:r w:rsidR="002014A6" w:rsidRPr="00364225">
        <w:rPr>
          <w:b/>
          <w:bCs/>
          <w:lang w:val="de-DE"/>
        </w:rPr>
        <w:t>=0,12</w:t>
      </w:r>
      <w:r w:rsidRPr="00364225">
        <w:rPr>
          <w:b/>
          <w:bCs/>
          <w:lang w:val="hu-HU"/>
        </w:rPr>
        <w:t xml:space="preserve">; </w:t>
      </w:r>
      <w:r w:rsidRPr="00364225">
        <w:rPr>
          <w:b/>
          <w:bCs/>
          <w:lang w:val="de-DE"/>
        </w:rPr>
        <w:t xml:space="preserve"> r</w:t>
      </w:r>
      <w:r w:rsidRPr="00364225">
        <w:rPr>
          <w:b/>
          <w:bCs/>
          <w:vertAlign w:val="subscript"/>
          <w:lang w:val="de-DE"/>
        </w:rPr>
        <w:t>i</w:t>
      </w:r>
      <w:r w:rsidR="002014A6" w:rsidRPr="00364225">
        <w:rPr>
          <w:b/>
          <w:bCs/>
          <w:lang w:val="de-DE"/>
        </w:rPr>
        <w:t>=0,10</w:t>
      </w:r>
      <w:r w:rsidRPr="00364225">
        <w:rPr>
          <w:b/>
          <w:bCs/>
          <w:lang w:val="hu-HU"/>
        </w:rPr>
        <w:t>;</w:t>
      </w:r>
      <w:r w:rsidRPr="00364225">
        <w:rPr>
          <w:b/>
          <w:bCs/>
          <w:lang w:val="de-DE"/>
        </w:rPr>
        <w:t xml:space="preserve"> T=0,2</w:t>
      </w:r>
      <w:r w:rsidR="002014A6" w:rsidRPr="00364225">
        <w:rPr>
          <w:b/>
          <w:bCs/>
          <w:lang w:val="de-DE"/>
        </w:rPr>
        <w:t>5</w:t>
      </w:r>
      <w:r w:rsidRPr="00364225">
        <w:rPr>
          <w:b/>
          <w:bCs/>
          <w:lang w:val="hu-HU"/>
        </w:rPr>
        <w:t xml:space="preserve">; </w:t>
      </w:r>
      <w:r w:rsidRPr="00364225">
        <w:rPr>
          <w:b/>
          <w:bCs/>
          <w:lang w:val="de-DE"/>
        </w:rPr>
        <w:t xml:space="preserve"> r</w:t>
      </w:r>
      <w:r w:rsidRPr="00364225">
        <w:rPr>
          <w:b/>
          <w:bCs/>
          <w:vertAlign w:val="subscript"/>
          <w:lang w:val="de-DE"/>
        </w:rPr>
        <w:t>d</w:t>
      </w:r>
      <w:r w:rsidR="002014A6" w:rsidRPr="00364225">
        <w:rPr>
          <w:b/>
          <w:bCs/>
          <w:lang w:val="de-DE"/>
        </w:rPr>
        <w:t>=0,10</w:t>
      </w:r>
      <w:r w:rsidRPr="00364225">
        <w:rPr>
          <w:b/>
          <w:bCs/>
          <w:lang w:val="hu-HU"/>
        </w:rPr>
        <w:t xml:space="preserve"> x</w:t>
      </w:r>
      <w:r w:rsidRPr="00364225">
        <w:rPr>
          <w:b/>
          <w:bCs/>
          <w:lang w:val="de-DE"/>
        </w:rPr>
        <w:t xml:space="preserve"> (1-0,2</w:t>
      </w:r>
      <w:r w:rsidR="002014A6" w:rsidRPr="00364225">
        <w:rPr>
          <w:b/>
          <w:bCs/>
          <w:lang w:val="de-DE"/>
        </w:rPr>
        <w:t>5</w:t>
      </w:r>
      <w:r w:rsidRPr="00364225">
        <w:rPr>
          <w:b/>
          <w:bCs/>
          <w:lang w:val="de-DE"/>
        </w:rPr>
        <w:t xml:space="preserve">) = </w:t>
      </w:r>
      <w:r w:rsidR="002014A6" w:rsidRPr="00364225">
        <w:rPr>
          <w:b/>
          <w:bCs/>
          <w:lang w:val="de-DE"/>
        </w:rPr>
        <w:t>0,075</w:t>
      </w:r>
    </w:p>
    <w:p w14:paraId="32788E87" w14:textId="77777777" w:rsidR="00EA2236" w:rsidRPr="00364225" w:rsidRDefault="00EA2236" w:rsidP="002014A6">
      <w:pPr>
        <w:jc w:val="both"/>
        <w:rPr>
          <w:b/>
          <w:bCs/>
        </w:rPr>
      </w:pPr>
      <w:r w:rsidRPr="00364225">
        <w:rPr>
          <w:b/>
          <w:bCs/>
          <w:lang w:val="hu-HU"/>
        </w:rPr>
        <w:t>(r</w:t>
      </w:r>
      <w:r w:rsidRPr="00364225">
        <w:rPr>
          <w:b/>
          <w:bCs/>
          <w:vertAlign w:val="subscript"/>
          <w:lang w:val="hu-HU"/>
        </w:rPr>
        <w:t>A</w:t>
      </w:r>
      <w:r w:rsidRPr="00364225">
        <w:rPr>
          <w:b/>
          <w:bCs/>
          <w:lang w:val="hu-HU"/>
        </w:rPr>
        <w:t>) = w</w:t>
      </w:r>
      <w:r w:rsidRPr="00364225">
        <w:rPr>
          <w:b/>
          <w:bCs/>
          <w:vertAlign w:val="subscript"/>
          <w:lang w:val="hu-HU"/>
        </w:rPr>
        <w:t>e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>e</w:t>
      </w:r>
      <w:r w:rsidRPr="00364225">
        <w:rPr>
          <w:b/>
          <w:bCs/>
          <w:lang w:val="hu-HU"/>
        </w:rPr>
        <w:t xml:space="preserve"> + w</w:t>
      </w:r>
      <w:r w:rsidRPr="00364225">
        <w:rPr>
          <w:b/>
          <w:bCs/>
          <w:vertAlign w:val="subscript"/>
          <w:lang w:val="hu-HU"/>
        </w:rPr>
        <w:t>p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>p</w:t>
      </w:r>
      <w:r w:rsidRPr="00364225">
        <w:rPr>
          <w:b/>
          <w:bCs/>
          <w:lang w:val="hu-HU"/>
        </w:rPr>
        <w:t xml:space="preserve"> + w</w:t>
      </w:r>
      <w:r w:rsidRPr="00364225">
        <w:rPr>
          <w:b/>
          <w:bCs/>
          <w:vertAlign w:val="subscript"/>
          <w:lang w:val="hu-HU"/>
        </w:rPr>
        <w:t>d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>d</w:t>
      </w:r>
    </w:p>
    <w:p w14:paraId="560099DF" w14:textId="77777777" w:rsidR="005B1FDD" w:rsidRPr="00364225" w:rsidRDefault="00882FFF" w:rsidP="0059148B">
      <w:pPr>
        <w:pBdr>
          <w:bottom w:val="single" w:sz="4" w:space="1" w:color="auto"/>
        </w:pBdr>
        <w:jc w:val="both"/>
        <w:rPr>
          <w:b/>
          <w:bCs/>
        </w:rPr>
      </w:pPr>
      <w:r w:rsidRPr="00364225">
        <w:rPr>
          <w:b/>
          <w:bCs/>
          <w:lang w:val="de-DE"/>
        </w:rPr>
        <w:t>WACC</w:t>
      </w:r>
      <w:r w:rsidRPr="00364225">
        <w:rPr>
          <w:b/>
          <w:bCs/>
          <w:lang w:val="hu-HU"/>
        </w:rPr>
        <w:t xml:space="preserve"> </w:t>
      </w:r>
      <w:r w:rsidRPr="00364225">
        <w:rPr>
          <w:b/>
          <w:bCs/>
          <w:lang w:val="de-DE"/>
        </w:rPr>
        <w:t>= 0,6</w:t>
      </w:r>
      <w:r w:rsidRPr="00364225">
        <w:rPr>
          <w:b/>
          <w:bCs/>
          <w:lang w:val="hu-HU"/>
        </w:rPr>
        <w:t xml:space="preserve"> x</w:t>
      </w:r>
      <w:r w:rsidRPr="00364225">
        <w:rPr>
          <w:b/>
          <w:bCs/>
          <w:lang w:val="de-DE"/>
        </w:rPr>
        <w:t xml:space="preserve"> 0,1</w:t>
      </w:r>
      <w:r w:rsidR="002014A6" w:rsidRPr="00364225">
        <w:rPr>
          <w:b/>
          <w:bCs/>
          <w:lang w:val="de-DE"/>
        </w:rPr>
        <w:t>6</w:t>
      </w:r>
      <w:r w:rsidRPr="00364225">
        <w:rPr>
          <w:b/>
          <w:bCs/>
          <w:lang w:val="de-DE"/>
        </w:rPr>
        <w:t xml:space="preserve"> + 0,1</w:t>
      </w:r>
      <w:r w:rsidR="002014A6" w:rsidRPr="00364225">
        <w:rPr>
          <w:b/>
          <w:bCs/>
          <w:lang w:val="de-DE"/>
        </w:rPr>
        <w:t>0</w:t>
      </w:r>
      <w:r w:rsidRPr="00364225">
        <w:rPr>
          <w:b/>
          <w:bCs/>
          <w:lang w:val="hu-HU"/>
        </w:rPr>
        <w:t xml:space="preserve"> x</w:t>
      </w:r>
      <w:r w:rsidRPr="00364225">
        <w:rPr>
          <w:b/>
          <w:bCs/>
          <w:lang w:val="de-DE"/>
        </w:rPr>
        <w:t xml:space="preserve"> </w:t>
      </w:r>
      <w:r w:rsidR="00EA2236" w:rsidRPr="00364225">
        <w:rPr>
          <w:b/>
          <w:bCs/>
          <w:lang w:val="de-DE"/>
        </w:rPr>
        <w:t>0,12</w:t>
      </w:r>
      <w:r w:rsidRPr="00364225">
        <w:rPr>
          <w:b/>
          <w:bCs/>
          <w:lang w:val="de-DE"/>
        </w:rPr>
        <w:t xml:space="preserve"> </w:t>
      </w:r>
      <w:r w:rsidR="00EA2236" w:rsidRPr="00364225">
        <w:rPr>
          <w:b/>
          <w:bCs/>
          <w:lang w:val="de-DE"/>
        </w:rPr>
        <w:t>+ 0,3</w:t>
      </w:r>
      <w:r w:rsidRPr="00364225">
        <w:rPr>
          <w:b/>
          <w:bCs/>
          <w:lang w:val="hu-HU"/>
        </w:rPr>
        <w:t xml:space="preserve"> x</w:t>
      </w:r>
      <w:r w:rsidRPr="00364225">
        <w:rPr>
          <w:b/>
          <w:bCs/>
          <w:lang w:val="de-DE"/>
        </w:rPr>
        <w:t xml:space="preserve"> 0,0</w:t>
      </w:r>
      <w:r w:rsidR="002014A6" w:rsidRPr="00364225">
        <w:rPr>
          <w:b/>
          <w:bCs/>
          <w:lang w:val="de-DE"/>
        </w:rPr>
        <w:t>75</w:t>
      </w:r>
      <w:r w:rsidRPr="00364225">
        <w:rPr>
          <w:b/>
          <w:bCs/>
          <w:lang w:val="de-DE"/>
        </w:rPr>
        <w:t xml:space="preserve"> = </w:t>
      </w:r>
      <w:r w:rsidR="00EA2236" w:rsidRPr="00364225">
        <w:rPr>
          <w:b/>
          <w:bCs/>
        </w:rPr>
        <w:t>0,1305 --›13,05%</w:t>
      </w:r>
    </w:p>
    <w:p w14:paraId="701BEF21" w14:textId="77777777" w:rsidR="005B1FDD" w:rsidRPr="00364225" w:rsidRDefault="005B1FDD" w:rsidP="00FA1EE4">
      <w:pPr>
        <w:jc w:val="both"/>
        <w:rPr>
          <w:b/>
          <w:bCs/>
          <w:lang w:val="hu-HU"/>
        </w:rPr>
      </w:pPr>
    </w:p>
    <w:p w14:paraId="7AB1AD23" w14:textId="77777777" w:rsidR="00607A72" w:rsidRPr="00364225" w:rsidRDefault="00607A72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7.feladat</w:t>
      </w:r>
    </w:p>
    <w:p w14:paraId="0D4C0424" w14:textId="77777777" w:rsidR="00607A72" w:rsidRPr="00364225" w:rsidRDefault="00607A72" w:rsidP="00607A72">
      <w:pPr>
        <w:jc w:val="both"/>
        <w:rPr>
          <w:bCs/>
        </w:rPr>
      </w:pPr>
      <w:r w:rsidRPr="00364225">
        <w:rPr>
          <w:bCs/>
          <w:lang w:val="hu-HU"/>
        </w:rPr>
        <w:t xml:space="preserve">Mennyi lenne a beruházás nettó jelenértéke biztos egyenértékesben, ha a </w:t>
      </w:r>
      <w:r w:rsidRPr="00364225">
        <w:rPr>
          <w:bCs/>
          <w:i/>
          <w:iCs/>
          <w:lang w:val="hu-HU"/>
        </w:rPr>
        <w:t>kockázatmentes</w:t>
      </w:r>
      <w:r w:rsidRPr="00364225">
        <w:rPr>
          <w:bCs/>
          <w:lang w:val="hu-HU"/>
        </w:rPr>
        <w:t xml:space="preserve"> kamatláb </w:t>
      </w:r>
      <w:r w:rsidR="006642A0" w:rsidRPr="00364225">
        <w:rPr>
          <w:bCs/>
          <w:highlight w:val="yellow"/>
          <w:lang w:val="hu-HU"/>
        </w:rPr>
        <w:t>5</w:t>
      </w:r>
      <w:r w:rsidRPr="00364225">
        <w:rPr>
          <w:bCs/>
          <w:lang w:val="hu-HU"/>
        </w:rPr>
        <w:t>%?</w:t>
      </w: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988"/>
        <w:gridCol w:w="2835"/>
      </w:tblGrid>
      <w:tr w:rsidR="006642A0" w:rsidRPr="00364225" w14:paraId="4D9DFF8D" w14:textId="77777777" w:rsidTr="006642A0">
        <w:trPr>
          <w:trHeight w:val="306"/>
        </w:trPr>
        <w:tc>
          <w:tcPr>
            <w:tcW w:w="988" w:type="dxa"/>
          </w:tcPr>
          <w:p w14:paraId="38478643" w14:textId="77777777" w:rsidR="00607A72" w:rsidRPr="00364225" w:rsidRDefault="00607A72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Év</w:t>
            </w:r>
          </w:p>
        </w:tc>
        <w:tc>
          <w:tcPr>
            <w:tcW w:w="2835" w:type="dxa"/>
          </w:tcPr>
          <w:p w14:paraId="2AF6801F" w14:textId="77777777" w:rsidR="00607A72" w:rsidRPr="00364225" w:rsidRDefault="00607A72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Becsült pénzáram (eFt)</w:t>
            </w:r>
          </w:p>
        </w:tc>
      </w:tr>
      <w:tr w:rsidR="006642A0" w:rsidRPr="00364225" w14:paraId="57C76853" w14:textId="77777777" w:rsidTr="006642A0">
        <w:tc>
          <w:tcPr>
            <w:tcW w:w="988" w:type="dxa"/>
          </w:tcPr>
          <w:p w14:paraId="41619957" w14:textId="77777777" w:rsidR="006642A0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0</w:t>
            </w:r>
          </w:p>
        </w:tc>
        <w:tc>
          <w:tcPr>
            <w:tcW w:w="2835" w:type="dxa"/>
          </w:tcPr>
          <w:p w14:paraId="584485A1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-8000</w:t>
            </w:r>
          </w:p>
        </w:tc>
      </w:tr>
      <w:tr w:rsidR="006642A0" w:rsidRPr="00364225" w14:paraId="428492B6" w14:textId="77777777" w:rsidTr="006642A0">
        <w:tc>
          <w:tcPr>
            <w:tcW w:w="988" w:type="dxa"/>
          </w:tcPr>
          <w:p w14:paraId="17FA1524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1</w:t>
            </w:r>
          </w:p>
        </w:tc>
        <w:tc>
          <w:tcPr>
            <w:tcW w:w="2835" w:type="dxa"/>
          </w:tcPr>
          <w:p w14:paraId="7009C983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+4000</w:t>
            </w:r>
          </w:p>
        </w:tc>
      </w:tr>
      <w:tr w:rsidR="006642A0" w:rsidRPr="00364225" w14:paraId="3CC68944" w14:textId="77777777" w:rsidTr="006642A0">
        <w:tc>
          <w:tcPr>
            <w:tcW w:w="988" w:type="dxa"/>
          </w:tcPr>
          <w:p w14:paraId="72FD2E26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2</w:t>
            </w:r>
          </w:p>
        </w:tc>
        <w:tc>
          <w:tcPr>
            <w:tcW w:w="2835" w:type="dxa"/>
          </w:tcPr>
          <w:p w14:paraId="75E0666E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+5000</w:t>
            </w:r>
          </w:p>
        </w:tc>
      </w:tr>
      <w:tr w:rsidR="006642A0" w:rsidRPr="00364225" w14:paraId="414F65E1" w14:textId="77777777" w:rsidTr="006642A0">
        <w:tc>
          <w:tcPr>
            <w:tcW w:w="988" w:type="dxa"/>
          </w:tcPr>
          <w:p w14:paraId="278CC08F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3</w:t>
            </w:r>
          </w:p>
        </w:tc>
        <w:tc>
          <w:tcPr>
            <w:tcW w:w="2835" w:type="dxa"/>
          </w:tcPr>
          <w:p w14:paraId="5DC3F308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+6000</w:t>
            </w:r>
          </w:p>
        </w:tc>
      </w:tr>
      <w:tr w:rsidR="006642A0" w:rsidRPr="00364225" w14:paraId="2EB7E767" w14:textId="77777777" w:rsidTr="006642A0">
        <w:tc>
          <w:tcPr>
            <w:tcW w:w="988" w:type="dxa"/>
          </w:tcPr>
          <w:p w14:paraId="1E0438C4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4</w:t>
            </w:r>
          </w:p>
        </w:tc>
        <w:tc>
          <w:tcPr>
            <w:tcW w:w="2835" w:type="dxa"/>
          </w:tcPr>
          <w:p w14:paraId="23026A62" w14:textId="77777777" w:rsidR="00607A72" w:rsidRPr="00364225" w:rsidRDefault="006642A0" w:rsidP="00FA1EE4">
            <w:pPr>
              <w:jc w:val="both"/>
              <w:rPr>
                <w:bCs/>
                <w:lang w:val="hu-HU"/>
              </w:rPr>
            </w:pPr>
            <w:r w:rsidRPr="00364225">
              <w:rPr>
                <w:bCs/>
                <w:lang w:val="hu-HU"/>
              </w:rPr>
              <w:t>+4000</w:t>
            </w:r>
          </w:p>
        </w:tc>
      </w:tr>
    </w:tbl>
    <w:p w14:paraId="60351DED" w14:textId="77777777" w:rsidR="00607A72" w:rsidRPr="00364225" w:rsidRDefault="006642A0" w:rsidP="00FA1EE4">
      <w:pPr>
        <w:jc w:val="both"/>
        <w:rPr>
          <w:bCs/>
          <w:lang w:val="hu-HU"/>
        </w:rPr>
      </w:pPr>
      <w:r w:rsidRPr="00364225">
        <w:rPr>
          <w:bCs/>
          <w:lang w:val="hu-HU"/>
        </w:rPr>
        <w:t>MEGOLDÁS</w:t>
      </w:r>
    </w:p>
    <w:p w14:paraId="70CA002F" w14:textId="77777777" w:rsidR="006642A0" w:rsidRPr="00364225" w:rsidRDefault="006642A0" w:rsidP="006642A0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NPV= -8000+4 000/1,05+5 000/1,05</w:t>
      </w:r>
      <w:r w:rsidR="00882FFF" w:rsidRPr="00364225">
        <w:rPr>
          <w:b/>
          <w:bCs/>
          <w:vertAlign w:val="superscript"/>
          <w:lang w:val="hu-HU"/>
        </w:rPr>
        <w:t>2</w:t>
      </w:r>
      <w:r w:rsidRPr="00364225">
        <w:rPr>
          <w:b/>
          <w:bCs/>
          <w:lang w:val="hu-HU"/>
        </w:rPr>
        <w:t>+6 000/1,05</w:t>
      </w:r>
      <w:r w:rsidR="00882FFF" w:rsidRPr="00364225">
        <w:rPr>
          <w:b/>
          <w:bCs/>
          <w:vertAlign w:val="superscript"/>
          <w:lang w:val="hu-HU"/>
        </w:rPr>
        <w:t>3</w:t>
      </w:r>
      <w:r w:rsidRPr="00364225">
        <w:rPr>
          <w:b/>
          <w:bCs/>
          <w:lang w:val="hu-HU"/>
        </w:rPr>
        <w:t>+4 000/1,05</w:t>
      </w:r>
      <w:r w:rsidR="00882FFF" w:rsidRPr="00364225">
        <w:rPr>
          <w:b/>
          <w:bCs/>
          <w:vertAlign w:val="superscript"/>
          <w:lang w:val="hu-HU"/>
        </w:rPr>
        <w:t>4</w:t>
      </w:r>
      <w:r w:rsidRPr="00364225">
        <w:rPr>
          <w:b/>
          <w:bCs/>
          <w:lang w:val="hu-HU"/>
        </w:rPr>
        <w:t>=</w:t>
      </w:r>
      <w:r w:rsidR="003D3115" w:rsidRPr="00364225">
        <w:rPr>
          <w:b/>
          <w:bCs/>
          <w:lang w:val="hu-HU"/>
        </w:rPr>
        <w:t xml:space="preserve"> </w:t>
      </w:r>
      <w:r w:rsidR="005B1FDD" w:rsidRPr="00364225">
        <w:rPr>
          <w:b/>
          <w:bCs/>
          <w:lang w:val="hu-HU"/>
        </w:rPr>
        <w:t>8818,5</w:t>
      </w:r>
    </w:p>
    <w:p w14:paraId="10760B48" w14:textId="77777777" w:rsidR="00D0073E" w:rsidRPr="00364225" w:rsidRDefault="00882FFF" w:rsidP="005B1FDD">
      <w:pPr>
        <w:jc w:val="both"/>
        <w:rPr>
          <w:b/>
          <w:bCs/>
        </w:rPr>
      </w:pPr>
      <w:r w:rsidRPr="00364225">
        <w:rPr>
          <w:b/>
          <w:bCs/>
          <w:lang w:val="hu-HU"/>
        </w:rPr>
        <w:t xml:space="preserve">NPV egyenértékes = </w:t>
      </w:r>
      <w:r w:rsidR="005B1FDD" w:rsidRPr="00364225">
        <w:rPr>
          <w:b/>
          <w:bCs/>
          <w:lang w:val="hu-HU"/>
        </w:rPr>
        <w:t>8818,5</w:t>
      </w:r>
      <w:r w:rsidRPr="00364225">
        <w:rPr>
          <w:b/>
          <w:bCs/>
          <w:lang w:val="hu-HU"/>
        </w:rPr>
        <w:t>/AF(</w:t>
      </w:r>
      <w:r w:rsidR="005B1FDD" w:rsidRPr="00364225">
        <w:rPr>
          <w:b/>
          <w:bCs/>
          <w:lang w:val="hu-HU"/>
        </w:rPr>
        <w:t>4</w:t>
      </w:r>
      <w:r w:rsidRPr="00364225">
        <w:rPr>
          <w:b/>
          <w:bCs/>
          <w:lang w:val="hu-HU"/>
        </w:rPr>
        <w:t>,</w:t>
      </w:r>
      <w:r w:rsidR="005B1FDD" w:rsidRPr="00364225">
        <w:rPr>
          <w:b/>
          <w:bCs/>
          <w:lang w:val="hu-HU"/>
        </w:rPr>
        <w:t>5</w:t>
      </w:r>
      <w:r w:rsidRPr="00364225">
        <w:rPr>
          <w:b/>
          <w:bCs/>
          <w:lang w:val="hu-HU"/>
        </w:rPr>
        <w:t xml:space="preserve">%) = </w:t>
      </w:r>
      <w:r w:rsidR="005B1FDD" w:rsidRPr="00364225">
        <w:rPr>
          <w:b/>
          <w:bCs/>
          <w:lang w:val="hu-HU"/>
        </w:rPr>
        <w:t>???</w:t>
      </w:r>
      <w:r w:rsidRPr="00364225">
        <w:rPr>
          <w:b/>
          <w:bCs/>
          <w:lang w:val="hu-HU"/>
        </w:rPr>
        <w:t>/év</w:t>
      </w:r>
    </w:p>
    <w:p w14:paraId="1B9B748B" w14:textId="77777777" w:rsidR="006642A0" w:rsidRPr="00364225" w:rsidRDefault="006642A0" w:rsidP="006642A0">
      <w:pPr>
        <w:jc w:val="both"/>
        <w:rPr>
          <w:bCs/>
        </w:rPr>
      </w:pPr>
    </w:p>
    <w:p w14:paraId="35D2B27E" w14:textId="77777777" w:rsidR="006642A0" w:rsidRPr="00364225" w:rsidRDefault="006642A0" w:rsidP="00FA1EE4">
      <w:pPr>
        <w:jc w:val="both"/>
        <w:rPr>
          <w:bCs/>
          <w:lang w:val="hu-HU"/>
        </w:rPr>
      </w:pPr>
    </w:p>
    <w:p w14:paraId="6F1655E0" w14:textId="77777777" w:rsidR="005617E3" w:rsidRPr="00364225" w:rsidRDefault="005617E3" w:rsidP="00FA1EE4">
      <w:pPr>
        <w:jc w:val="both"/>
        <w:rPr>
          <w:bCs/>
          <w:lang w:val="hu-HU"/>
        </w:rPr>
      </w:pPr>
    </w:p>
    <w:p w14:paraId="46E964DE" w14:textId="77777777" w:rsidR="005617E3" w:rsidRPr="00364225" w:rsidRDefault="005617E3" w:rsidP="00FA1EE4">
      <w:pPr>
        <w:jc w:val="both"/>
        <w:rPr>
          <w:bCs/>
          <w:lang w:val="hu-HU"/>
        </w:rPr>
      </w:pPr>
    </w:p>
    <w:p w14:paraId="02CF611C" w14:textId="5644E5CC" w:rsidR="005617E3" w:rsidRPr="00364225" w:rsidRDefault="003210BD" w:rsidP="00FA1EE4">
      <w:pPr>
        <w:jc w:val="both"/>
        <w:rPr>
          <w:bCs/>
          <w:lang w:val="hu-HU"/>
        </w:rPr>
      </w:pPr>
      <w:r>
        <w:rPr>
          <w:bCs/>
          <w:lang w:val="hu-HU"/>
        </w:rPr>
        <w:t>I/</w:t>
      </w:r>
    </w:p>
    <w:p w14:paraId="68CD1515" w14:textId="77777777" w:rsidR="00D0073E" w:rsidRPr="00364225" w:rsidRDefault="005617E3" w:rsidP="00FD0F84">
      <w:pPr>
        <w:jc w:val="both"/>
        <w:rPr>
          <w:bCs/>
        </w:rPr>
      </w:pPr>
      <w:r w:rsidRPr="00364225">
        <w:rPr>
          <w:b/>
          <w:bCs/>
          <w:lang w:val="hu-HU"/>
        </w:rPr>
        <w:t>EPS:</w:t>
      </w:r>
      <w:r w:rsidR="00FD0F84" w:rsidRPr="00364225">
        <w:rPr>
          <w:bCs/>
          <w:lang w:val="hu-HU"/>
        </w:rPr>
        <w:t xml:space="preserve"> </w:t>
      </w:r>
      <w:r w:rsidR="00882FFF" w:rsidRPr="00364225">
        <w:rPr>
          <w:bCs/>
          <w:lang w:val="hu-HU"/>
        </w:rPr>
        <w:t>egy részvényre jutó adózott eredmény</w:t>
      </w:r>
    </w:p>
    <w:p w14:paraId="1EAEC364" w14:textId="77777777" w:rsidR="005617E3" w:rsidRPr="00364225" w:rsidRDefault="00FD0F84" w:rsidP="00FA1EE4">
      <w:pPr>
        <w:jc w:val="both"/>
        <w:rPr>
          <w:bCs/>
          <w:lang w:val="hu-HU"/>
        </w:rPr>
      </w:pPr>
      <w:r w:rsidRPr="00364225">
        <w:rPr>
          <w:b/>
          <w:bCs/>
          <w:lang w:val="hu-HU"/>
        </w:rPr>
        <w:t>Értékpapír-piaci egyenes:</w:t>
      </w:r>
      <w:r w:rsidRPr="00364225">
        <w:rPr>
          <w:bCs/>
          <w:lang w:val="hu-HU"/>
        </w:rPr>
        <w:t xml:space="preserve"> a befektetések várható hozamát mutatja bétájuk függvényében.</w:t>
      </w:r>
    </w:p>
    <w:p w14:paraId="318A8801" w14:textId="77777777" w:rsidR="00FD0F84" w:rsidRPr="00364225" w:rsidRDefault="00FD0F84" w:rsidP="00FD0F84">
      <w:pPr>
        <w:ind w:left="2160" w:firstLine="720"/>
        <w:jc w:val="both"/>
        <w:rPr>
          <w:bCs/>
          <w:lang w:val="hu-HU"/>
        </w:rPr>
      </w:pPr>
      <w:r w:rsidRPr="00364225">
        <w:rPr>
          <w:bCs/>
          <w:noProof/>
        </w:rPr>
        <w:drawing>
          <wp:inline distT="0" distB="0" distL="0" distR="0" wp14:anchorId="36DF30A8" wp14:editId="2B5A735A">
            <wp:extent cx="1776952" cy="1189413"/>
            <wp:effectExtent l="0" t="0" r="1270" b="4445"/>
            <wp:docPr id="1" name="Picture 1" descr="/Users/iPeti/Desktop/2011_0001_535_M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Peti/Desktop/2011_0001_535_MV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43" cy="119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5C71" w14:textId="77777777" w:rsidR="00D0073E" w:rsidRPr="00364225" w:rsidRDefault="00FD0F84" w:rsidP="00FD0F84">
      <w:pPr>
        <w:jc w:val="both"/>
        <w:rPr>
          <w:bCs/>
        </w:rPr>
      </w:pPr>
      <w:r w:rsidRPr="00364225">
        <w:rPr>
          <w:b/>
          <w:bCs/>
          <w:lang w:val="hu-HU"/>
        </w:rPr>
        <w:t>Hatékony portfolió:</w:t>
      </w:r>
      <w:r w:rsidRPr="00364225">
        <w:rPr>
          <w:rFonts w:asciiTheme="minorHAnsi" w:eastAsiaTheme="minorEastAsia" w:hAnsi="Calibri" w:cstheme="minorBidi"/>
          <w:color w:val="44546A" w:themeColor="text2"/>
          <w:kern w:val="24"/>
          <w:lang w:val="hu-HU"/>
        </w:rPr>
        <w:t xml:space="preserve"> </w:t>
      </w:r>
      <w:r w:rsidR="00882FFF" w:rsidRPr="00364225">
        <w:rPr>
          <w:bCs/>
          <w:lang w:val="hu-HU"/>
        </w:rPr>
        <w:t>amelynek adott hozam mellett legkisebb a kockázata, és adott kockázat mellett legnagyobb a hozama. Ez egyben a piaci portfolió.</w:t>
      </w:r>
    </w:p>
    <w:p w14:paraId="7F3718DD" w14:textId="77777777" w:rsidR="00FD0F84" w:rsidRPr="00364225" w:rsidRDefault="00FD0F84" w:rsidP="00FA1EE4">
      <w:pPr>
        <w:jc w:val="both"/>
        <w:rPr>
          <w:b/>
          <w:bCs/>
          <w:lang w:val="hu-HU"/>
        </w:rPr>
      </w:pPr>
      <w:r w:rsidRPr="00364225">
        <w:rPr>
          <w:b/>
          <w:bCs/>
          <w:lang w:val="hu-HU"/>
        </w:rPr>
        <w:t>Súlyozott átlagos tőke költség:</w:t>
      </w:r>
      <w:r w:rsidRPr="00364225">
        <w:rPr>
          <w:bCs/>
          <w:lang w:val="hu-HU"/>
        </w:rPr>
        <w:t xml:space="preserve"> az a mutató, amely százalékos formában kifejezi, hogy a vállalati tőkeszerkezetnek megfelelő egységnyi plusz tőke megszerzése mibe kerül majd a vállalatnak. Ezt használjuk a beruházás jövőbeli pénzáramai jelenértékének számításához mint diszkontálásra alkalmas beruházástól elvárt hozamot. /</w:t>
      </w:r>
      <w:r w:rsidRPr="00364225">
        <w:rPr>
          <w:b/>
          <w:bCs/>
          <w:lang w:val="hu-HU"/>
        </w:rPr>
        <w:t>(r</w:t>
      </w:r>
      <w:r w:rsidRPr="00364225">
        <w:rPr>
          <w:b/>
          <w:bCs/>
          <w:vertAlign w:val="subscript"/>
          <w:lang w:val="hu-HU"/>
        </w:rPr>
        <w:t>A</w:t>
      </w:r>
      <w:r w:rsidRPr="00364225">
        <w:rPr>
          <w:b/>
          <w:bCs/>
          <w:lang w:val="hu-HU"/>
        </w:rPr>
        <w:t>) = w</w:t>
      </w:r>
      <w:r w:rsidRPr="00364225">
        <w:rPr>
          <w:b/>
          <w:bCs/>
          <w:vertAlign w:val="subscript"/>
          <w:lang w:val="hu-HU"/>
        </w:rPr>
        <w:t>e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>e</w:t>
      </w:r>
      <w:r w:rsidRPr="00364225">
        <w:rPr>
          <w:b/>
          <w:bCs/>
          <w:lang w:val="hu-HU"/>
        </w:rPr>
        <w:t xml:space="preserve"> + w</w:t>
      </w:r>
      <w:r w:rsidRPr="00364225">
        <w:rPr>
          <w:b/>
          <w:bCs/>
          <w:vertAlign w:val="subscript"/>
          <w:lang w:val="hu-HU"/>
        </w:rPr>
        <w:t>p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>p</w:t>
      </w:r>
      <w:r w:rsidRPr="00364225">
        <w:rPr>
          <w:b/>
          <w:bCs/>
          <w:lang w:val="hu-HU"/>
        </w:rPr>
        <w:t xml:space="preserve"> + w</w:t>
      </w:r>
      <w:r w:rsidRPr="00364225">
        <w:rPr>
          <w:b/>
          <w:bCs/>
          <w:vertAlign w:val="subscript"/>
          <w:lang w:val="hu-HU"/>
        </w:rPr>
        <w:t>d</w:t>
      </w:r>
      <w:r w:rsidRPr="00364225">
        <w:rPr>
          <w:b/>
          <w:bCs/>
          <w:lang w:val="hu-HU"/>
        </w:rPr>
        <w:t>r</w:t>
      </w:r>
      <w:r w:rsidRPr="00364225">
        <w:rPr>
          <w:b/>
          <w:bCs/>
          <w:vertAlign w:val="subscript"/>
          <w:lang w:val="hu-HU"/>
        </w:rPr>
        <w:t xml:space="preserve">d </w:t>
      </w:r>
      <w:r w:rsidRPr="00364225">
        <w:rPr>
          <w:b/>
          <w:bCs/>
          <w:lang w:val="hu-HU"/>
        </w:rPr>
        <w:t>/</w:t>
      </w:r>
    </w:p>
    <w:p w14:paraId="7FC1D0DD" w14:textId="77777777" w:rsidR="00FD0F84" w:rsidRPr="00364225" w:rsidRDefault="00FD0F84" w:rsidP="00FD0F84">
      <w:pPr>
        <w:jc w:val="both"/>
        <w:rPr>
          <w:bCs/>
          <w:lang w:val="hu-HU"/>
        </w:rPr>
      </w:pPr>
      <w:r w:rsidRPr="00364225">
        <w:rPr>
          <w:b/>
          <w:bCs/>
          <w:lang w:val="hu-HU"/>
        </w:rPr>
        <w:t>Diszkontált megtérülési idő</w:t>
      </w:r>
      <w:r w:rsidRPr="00364225">
        <w:rPr>
          <w:bCs/>
          <w:lang w:val="hu-HU"/>
        </w:rPr>
        <w:t>:</w:t>
      </w:r>
      <w:r w:rsidRPr="00364225">
        <w:rPr>
          <w:rFonts w:asciiTheme="minorHAnsi" w:eastAsiaTheme="minorEastAsia" w:hAnsi="Calibri" w:cstheme="minorBidi"/>
          <w:color w:val="44546A" w:themeColor="text2"/>
          <w:kern w:val="24"/>
          <w:lang w:val="hu-HU"/>
        </w:rPr>
        <w:t xml:space="preserve"> </w:t>
      </w:r>
      <w:r w:rsidRPr="00364225">
        <w:rPr>
          <w:bCs/>
          <w:lang w:val="hu-HU"/>
        </w:rPr>
        <w:t>azt fejezi ki, hogy hány évig kell a beruházásnak működnie, hogy a nettó jelenérték szempontjából értelmezhető, ésszerű legyen. Hány év diszkontált jövedelméből térül meg az eredetileg befektetett tőke</w:t>
      </w:r>
    </w:p>
    <w:p w14:paraId="4976B4C8" w14:textId="77777777" w:rsidR="00364225" w:rsidRPr="00364225" w:rsidRDefault="00364225" w:rsidP="00FD0F84">
      <w:pPr>
        <w:jc w:val="both"/>
        <w:rPr>
          <w:bCs/>
          <w:lang w:val="hu-HU"/>
        </w:rPr>
      </w:pPr>
    </w:p>
    <w:p w14:paraId="6A02384B" w14:textId="77777777" w:rsidR="00364225" w:rsidRPr="00364225" w:rsidRDefault="00364225" w:rsidP="00FD0F84">
      <w:pPr>
        <w:jc w:val="both"/>
        <w:rPr>
          <w:bCs/>
          <w:lang w:val="hu-HU"/>
        </w:rPr>
      </w:pPr>
    </w:p>
    <w:p w14:paraId="723674B4" w14:textId="77777777" w:rsidR="00364225" w:rsidRPr="00364225" w:rsidRDefault="00364225" w:rsidP="00FD0F84">
      <w:pPr>
        <w:jc w:val="both"/>
        <w:rPr>
          <w:bCs/>
          <w:lang w:val="hu-HU"/>
        </w:rPr>
      </w:pPr>
      <w:r w:rsidRPr="00364225">
        <w:rPr>
          <w:bCs/>
          <w:lang w:val="hu-HU"/>
        </w:rPr>
        <w:t>II.</w:t>
      </w:r>
    </w:p>
    <w:p w14:paraId="2E2806F7" w14:textId="77777777" w:rsidR="00364225" w:rsidRPr="00364225" w:rsidRDefault="00364225" w:rsidP="00364225">
      <w:pPr>
        <w:jc w:val="both"/>
        <w:rPr>
          <w:bCs/>
          <w:lang w:val="hu-HU"/>
        </w:rPr>
      </w:pPr>
    </w:p>
    <w:p w14:paraId="50A00905" w14:textId="77777777" w:rsidR="00D0073E" w:rsidRPr="00364225" w:rsidRDefault="00364225" w:rsidP="00364225">
      <w:pPr>
        <w:jc w:val="both"/>
        <w:rPr>
          <w:bCs/>
        </w:rPr>
      </w:pPr>
      <w:r w:rsidRPr="00364225">
        <w:rPr>
          <w:bCs/>
          <w:lang w:val="hu-HU"/>
        </w:rPr>
        <w:t xml:space="preserve">1/ </w:t>
      </w:r>
      <w:r w:rsidR="00882FFF" w:rsidRPr="00364225">
        <w:rPr>
          <w:b/>
          <w:bCs/>
          <w:lang w:val="hu-HU"/>
        </w:rPr>
        <w:t xml:space="preserve">osztalék elsőbbségi </w:t>
      </w:r>
      <w:r w:rsidR="00882FFF" w:rsidRPr="00364225">
        <w:rPr>
          <w:bCs/>
          <w:lang w:val="hu-HU"/>
        </w:rPr>
        <w:t>részvény: </w:t>
      </w:r>
    </w:p>
    <w:p w14:paraId="2686F61C" w14:textId="77777777" w:rsidR="00364225" w:rsidRPr="00364225" w:rsidRDefault="00364225" w:rsidP="00364225">
      <w:pPr>
        <w:jc w:val="both"/>
        <w:rPr>
          <w:bCs/>
        </w:rPr>
      </w:pPr>
      <w:r w:rsidRPr="00364225">
        <w:rPr>
          <w:bCs/>
          <w:lang w:val="hu-HU"/>
        </w:rPr>
        <w:t xml:space="preserve">a többi részvényeket </w:t>
      </w:r>
      <w:r w:rsidRPr="00364225">
        <w:rPr>
          <w:bCs/>
          <w:i/>
          <w:iCs/>
          <w:lang w:val="hu-HU"/>
        </w:rPr>
        <w:t xml:space="preserve">megelőzően, </w:t>
      </w:r>
      <w:r w:rsidRPr="00364225">
        <w:rPr>
          <w:bCs/>
          <w:lang w:val="hu-HU"/>
        </w:rPr>
        <w:t xml:space="preserve">egy előre meghatározott, </w:t>
      </w:r>
      <w:r w:rsidRPr="00364225">
        <w:rPr>
          <w:bCs/>
          <w:i/>
          <w:iCs/>
          <w:lang w:val="hu-HU"/>
        </w:rPr>
        <w:t xml:space="preserve">fix osztalék </w:t>
      </w:r>
      <w:r w:rsidRPr="00364225">
        <w:rPr>
          <w:bCs/>
          <w:lang w:val="hu-HU"/>
        </w:rPr>
        <w:t>kifizetéséért</w:t>
      </w:r>
    </w:p>
    <w:p w14:paraId="229C5C3A" w14:textId="77777777" w:rsidR="00364225" w:rsidRPr="00364225" w:rsidRDefault="00364225" w:rsidP="00364225">
      <w:pPr>
        <w:jc w:val="both"/>
        <w:rPr>
          <w:bCs/>
        </w:rPr>
      </w:pPr>
      <w:r w:rsidRPr="00364225">
        <w:rPr>
          <w:bCs/>
          <w:lang w:val="hu-HU"/>
        </w:rPr>
        <w:t>cserébe nem biztosít szavazati lehetőséget. Az osztalékelsőbbségi részvények</w:t>
      </w:r>
    </w:p>
    <w:p w14:paraId="638ADE8E" w14:textId="77777777" w:rsidR="00364225" w:rsidRPr="00364225" w:rsidRDefault="00364225" w:rsidP="00364225">
      <w:pPr>
        <w:jc w:val="both"/>
        <w:rPr>
          <w:bCs/>
        </w:rPr>
      </w:pPr>
      <w:r w:rsidRPr="00364225">
        <w:rPr>
          <w:bCs/>
          <w:lang w:val="hu-HU"/>
        </w:rPr>
        <w:t xml:space="preserve">tulajdonságai azonban cégenként változhatnak. </w:t>
      </w:r>
    </w:p>
    <w:p w14:paraId="6188E458" w14:textId="77777777" w:rsidR="00364225" w:rsidRPr="00364225" w:rsidRDefault="00364225" w:rsidP="00364225">
      <w:pPr>
        <w:jc w:val="both"/>
        <w:rPr>
          <w:bCs/>
          <w:lang w:val="hu-HU"/>
        </w:rPr>
      </w:pPr>
    </w:p>
    <w:p w14:paraId="5BAD0059" w14:textId="77777777" w:rsidR="00364225" w:rsidRPr="00364225" w:rsidRDefault="00364225" w:rsidP="00364225">
      <w:pPr>
        <w:rPr>
          <w:rFonts w:eastAsia="Times New Roman"/>
        </w:rPr>
      </w:pPr>
      <w:r w:rsidRPr="00364225">
        <w:rPr>
          <w:bCs/>
          <w:lang w:val="hu-HU"/>
        </w:rPr>
        <w:t xml:space="preserve">2/ </w:t>
      </w:r>
      <w:r w:rsidRPr="00364225">
        <w:rPr>
          <w:rFonts w:eastAsia="Times New Roman"/>
          <w:bCs/>
          <w:color w:val="222222"/>
          <w:shd w:val="clear" w:color="auto" w:fill="FFFFFF"/>
        </w:rPr>
        <w:t xml:space="preserve">A CAPM szerint a várható kockázati díj bármely befektetés esetén arányos a bétával. Ez azt jelenti, hogy minden befektetésnek az értékpapír-piaci egyenesen kell feküdnie, mely a kincstári váltót köti össze a piaci portfólióval. 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</w:rPr>
        <w:t>r</w:t>
      </w:r>
      <w:r w:rsidRPr="00364225">
        <w:rPr>
          <w:rFonts w:ascii="Verdana" w:eastAsia="Times New Roman" w:hAnsi="Verdana"/>
          <w:b/>
          <w:color w:val="222222"/>
          <w:shd w:val="clear" w:color="auto" w:fill="FFFFFF"/>
        </w:rPr>
        <w:t> – 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</w:rPr>
        <w:t>r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  <w:vertAlign w:val="subscript"/>
        </w:rPr>
        <w:t>f</w:t>
      </w:r>
      <w:r w:rsidRPr="00364225">
        <w:rPr>
          <w:rFonts w:ascii="Verdana" w:eastAsia="Times New Roman" w:hAnsi="Verdana"/>
          <w:b/>
          <w:color w:val="222222"/>
          <w:shd w:val="clear" w:color="auto" w:fill="FFFFFF"/>
        </w:rPr>
        <w:t> = β (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</w:rPr>
        <w:t>r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  <w:vertAlign w:val="subscript"/>
        </w:rPr>
        <w:t>m</w:t>
      </w:r>
      <w:r w:rsidRPr="00364225">
        <w:rPr>
          <w:rFonts w:ascii="Verdana" w:eastAsia="Times New Roman" w:hAnsi="Verdana"/>
          <w:b/>
          <w:color w:val="222222"/>
          <w:shd w:val="clear" w:color="auto" w:fill="FFFFFF"/>
        </w:rPr>
        <w:t> – 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</w:rPr>
        <w:t>r</w:t>
      </w:r>
      <w:r w:rsidRPr="00364225">
        <w:rPr>
          <w:rStyle w:val="Emphasis"/>
          <w:rFonts w:ascii="inherit" w:eastAsia="Times New Roman" w:hAnsi="inherit"/>
          <w:b/>
          <w:color w:val="222222"/>
          <w:bdr w:val="none" w:sz="0" w:space="0" w:color="auto" w:frame="1"/>
          <w:shd w:val="clear" w:color="auto" w:fill="FFFFFF"/>
          <w:vertAlign w:val="subscript"/>
        </w:rPr>
        <w:t>f</w:t>
      </w:r>
      <w:r w:rsidRPr="00364225">
        <w:rPr>
          <w:rFonts w:ascii="Verdana" w:eastAsia="Times New Roman" w:hAnsi="Verdana"/>
          <w:b/>
          <w:color w:val="222222"/>
          <w:shd w:val="clear" w:color="auto" w:fill="FFFFFF"/>
        </w:rPr>
        <w:t>)</w:t>
      </w:r>
    </w:p>
    <w:sectPr w:rsidR="00364225" w:rsidRPr="00364225" w:rsidSect="00EC79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26FA"/>
    <w:multiLevelType w:val="hybridMultilevel"/>
    <w:tmpl w:val="DEEC8F90"/>
    <w:lvl w:ilvl="0" w:tplc="FF8AF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E4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A5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7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8E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02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C5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24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C1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D34697"/>
    <w:multiLevelType w:val="hybridMultilevel"/>
    <w:tmpl w:val="A0FA16D8"/>
    <w:lvl w:ilvl="0" w:tplc="D914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EE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4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E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CB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6D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2E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E6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2E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174DB5"/>
    <w:multiLevelType w:val="hybridMultilevel"/>
    <w:tmpl w:val="A3E0668C"/>
    <w:lvl w:ilvl="0" w:tplc="90F46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8B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40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0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C5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6E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82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2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A8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D1EDD"/>
    <w:multiLevelType w:val="hybridMultilevel"/>
    <w:tmpl w:val="74369A30"/>
    <w:lvl w:ilvl="0" w:tplc="B6184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60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86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47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A4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64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0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47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4E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3200BC"/>
    <w:multiLevelType w:val="hybridMultilevel"/>
    <w:tmpl w:val="C7B4C058"/>
    <w:lvl w:ilvl="0" w:tplc="8BFE2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A9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A4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07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EF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CD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83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D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65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A6656D"/>
    <w:multiLevelType w:val="hybridMultilevel"/>
    <w:tmpl w:val="8F3699BC"/>
    <w:lvl w:ilvl="0" w:tplc="3014F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AC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CE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09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41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21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EA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A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C9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AA1590"/>
    <w:multiLevelType w:val="hybridMultilevel"/>
    <w:tmpl w:val="E9EEF086"/>
    <w:lvl w:ilvl="0" w:tplc="E4B0B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A8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E3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C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EC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4A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EC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6F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29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26772B"/>
    <w:multiLevelType w:val="hybridMultilevel"/>
    <w:tmpl w:val="EFECB698"/>
    <w:lvl w:ilvl="0" w:tplc="9CF88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0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66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4C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E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4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8C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C8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E0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F3134A"/>
    <w:multiLevelType w:val="hybridMultilevel"/>
    <w:tmpl w:val="5B5EA362"/>
    <w:lvl w:ilvl="0" w:tplc="9998D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0D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0E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A7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05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0B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07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E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6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A947BB"/>
    <w:multiLevelType w:val="hybridMultilevel"/>
    <w:tmpl w:val="C7EA0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D42B2"/>
    <w:multiLevelType w:val="hybridMultilevel"/>
    <w:tmpl w:val="D97AB334"/>
    <w:lvl w:ilvl="0" w:tplc="5276F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E4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A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0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E2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66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21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C6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881AE9"/>
    <w:multiLevelType w:val="hybridMultilevel"/>
    <w:tmpl w:val="2272F284"/>
    <w:lvl w:ilvl="0" w:tplc="6E66C6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C8D1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7E4C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ACDF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5DE54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B0C3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944B8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50A7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E33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4DF74FC1"/>
    <w:multiLevelType w:val="hybridMultilevel"/>
    <w:tmpl w:val="C086567C"/>
    <w:lvl w:ilvl="0" w:tplc="6B26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6E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AF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4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2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F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01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6F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931CA3"/>
    <w:multiLevelType w:val="hybridMultilevel"/>
    <w:tmpl w:val="882ED000"/>
    <w:lvl w:ilvl="0" w:tplc="38BE50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364EE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2E30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9060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06B8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30B6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FECB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16439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541A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>
    <w:nsid w:val="54010076"/>
    <w:multiLevelType w:val="hybridMultilevel"/>
    <w:tmpl w:val="0BF86346"/>
    <w:lvl w:ilvl="0" w:tplc="CA3AB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119C9"/>
    <w:multiLevelType w:val="hybridMultilevel"/>
    <w:tmpl w:val="E7D09F98"/>
    <w:lvl w:ilvl="0" w:tplc="3BF0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A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41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01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B01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E5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4E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48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80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15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AC"/>
    <w:rsid w:val="002014A6"/>
    <w:rsid w:val="002E16D2"/>
    <w:rsid w:val="003210BD"/>
    <w:rsid w:val="00364225"/>
    <w:rsid w:val="003D2CAA"/>
    <w:rsid w:val="003D3115"/>
    <w:rsid w:val="003F79C2"/>
    <w:rsid w:val="005617E3"/>
    <w:rsid w:val="0059148B"/>
    <w:rsid w:val="005B1FDD"/>
    <w:rsid w:val="00607A72"/>
    <w:rsid w:val="00630D01"/>
    <w:rsid w:val="006642A0"/>
    <w:rsid w:val="007F0FCE"/>
    <w:rsid w:val="00882AF7"/>
    <w:rsid w:val="00882FFF"/>
    <w:rsid w:val="008C072E"/>
    <w:rsid w:val="00953141"/>
    <w:rsid w:val="00962D00"/>
    <w:rsid w:val="009876DB"/>
    <w:rsid w:val="009E7563"/>
    <w:rsid w:val="00B86CAC"/>
    <w:rsid w:val="00C3188B"/>
    <w:rsid w:val="00D0073E"/>
    <w:rsid w:val="00EA2236"/>
    <w:rsid w:val="00EC79AB"/>
    <w:rsid w:val="00FA1EE4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14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6D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C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A1E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FCE"/>
    <w:rPr>
      <w:color w:val="808080"/>
    </w:rPr>
  </w:style>
  <w:style w:type="table" w:styleId="TableGrid">
    <w:name w:val="Table Grid"/>
    <w:basedOn w:val="TableNormal"/>
    <w:uiPriority w:val="39"/>
    <w:rsid w:val="0060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emphasis"/>
    <w:basedOn w:val="DefaultParagraphFont"/>
    <w:uiPriority w:val="20"/>
    <w:qFormat/>
    <w:rsid w:val="00364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4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8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1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09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806</Words>
  <Characters>4599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EDU_LLCJ_4413@diakoffice.onmicrosoft.com</dc:creator>
  <cp:keywords/>
  <dc:description/>
  <cp:lastModifiedBy>EDU_LLCJ_4413@diakoffice.onmicrosoft.com</cp:lastModifiedBy>
  <cp:revision>2</cp:revision>
  <cp:lastPrinted>2018-11-29T10:38:00Z</cp:lastPrinted>
  <dcterms:created xsi:type="dcterms:W3CDTF">2018-11-29T00:04:00Z</dcterms:created>
  <dcterms:modified xsi:type="dcterms:W3CDTF">2018-11-29T19:57:00Z</dcterms:modified>
</cp:coreProperties>
</file>